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C22" w:rsidRPr="00BC2537" w:rsidRDefault="00EA1C22" w:rsidP="00D80E3E">
      <w:pPr>
        <w:spacing w:beforeLines="60" w:afterLines="60" w:line="240" w:lineRule="auto"/>
        <w:rPr>
          <w:rFonts w:ascii="Verdana" w:eastAsia="Times New Roman" w:hAnsi="Verdana" w:cs="Times New Roman"/>
          <w:b/>
          <w:bCs/>
          <w:sz w:val="16"/>
          <w:szCs w:val="16"/>
        </w:rPr>
      </w:pPr>
      <w:r w:rsidRPr="00BC2537">
        <w:rPr>
          <w:rFonts w:ascii="Verdana" w:eastAsia="Times New Roman" w:hAnsi="Verdana" w:cs="Times New Roman"/>
          <w:b/>
          <w:bCs/>
          <w:sz w:val="16"/>
          <w:szCs w:val="16"/>
        </w:rPr>
        <w:t xml:space="preserve">Stan na dzień sporządzenia prospektu informacyjnego </w:t>
      </w:r>
    </w:p>
    <w:p w:rsidR="00EA1C22" w:rsidRPr="00E20B04" w:rsidRDefault="00391026" w:rsidP="00BC2537">
      <w:pPr>
        <w:widowControl w:val="0"/>
        <w:autoSpaceDE w:val="0"/>
        <w:autoSpaceDN w:val="0"/>
        <w:adjustRightInd w:val="0"/>
        <w:spacing w:after="0" w:line="360" w:lineRule="auto"/>
        <w:ind w:left="6379"/>
        <w:rPr>
          <w:rFonts w:ascii="Verdana" w:eastAsia="Times New Roman" w:hAnsi="Verdana" w:cs="Times New Roman"/>
          <w:color w:val="FF0000"/>
          <w:sz w:val="16"/>
          <w:szCs w:val="16"/>
        </w:rPr>
      </w:pPr>
      <w:r w:rsidRPr="00391026">
        <w:rPr>
          <w:rFonts w:ascii="Verdana" w:eastAsia="Calibri" w:hAnsi="Verdana" w:cs="Times New Roman"/>
          <w:b/>
          <w:noProof/>
          <w:sz w:val="16"/>
          <w:szCs w:val="16"/>
        </w:rPr>
        <w:pict>
          <v:shapetype id="_x0000_t202" coordsize="21600,21600" o:spt="202" path="m,l,21600r21600,l21600,xe">
            <v:stroke joinstyle="miter"/>
            <v:path gradientshapeok="t" o:connecttype="rect"/>
          </v:shapetype>
          <v:shape id="_x0000_s1028" type="#_x0000_t202" style="position:absolute;left:0;text-align:left;margin-left:318.65pt;margin-top:9.55pt;width:118.2pt;height:16.9pt;z-index:251663360;mso-width-relative:margin;mso-height-relative:margin" strokecolor="white [3212]" strokeweight="0">
            <v:textbox style="mso-next-textbox:#_x0000_s1028">
              <w:txbxContent>
                <w:p w:rsidR="009E3486" w:rsidRDefault="00ED0780" w:rsidP="009E3486">
                  <w:pPr>
                    <w:jc w:val="center"/>
                  </w:pPr>
                  <w:r w:rsidRPr="00ED0780">
                    <w:rPr>
                      <w:rFonts w:ascii="Verdana" w:hAnsi="Verdana" w:cs="Arial"/>
                      <w:b/>
                      <w:color w:val="FF0000"/>
                      <w:sz w:val="16"/>
                      <w:szCs w:val="16"/>
                    </w:rPr>
                    <w:t>31.01.2025r.</w:t>
                  </w:r>
                </w:p>
                <w:p w:rsidR="002A1D15" w:rsidRDefault="002A1D15" w:rsidP="00750C30">
                  <w:pPr>
                    <w:jc w:val="center"/>
                  </w:pPr>
                </w:p>
              </w:txbxContent>
            </v:textbox>
          </v:shape>
        </w:pict>
      </w:r>
      <w:r w:rsidR="00C37F70" w:rsidRPr="00E20B04">
        <w:rPr>
          <w:rFonts w:ascii="Verdana" w:eastAsia="Times New Roman" w:hAnsi="Verdana" w:cs="Times New Roman"/>
          <w:color w:val="FF0000"/>
          <w:sz w:val="16"/>
          <w:szCs w:val="16"/>
        </w:rPr>
        <w:t>DATA SPORZĄDZENIA PROSPEKTU</w:t>
      </w:r>
    </w:p>
    <w:p w:rsidR="00EA1C22" w:rsidRPr="00BC2537" w:rsidRDefault="00EA1C22" w:rsidP="00BC2537">
      <w:pPr>
        <w:spacing w:before="60" w:after="60" w:line="240" w:lineRule="auto"/>
        <w:outlineLvl w:val="0"/>
        <w:rPr>
          <w:rFonts w:ascii="Verdana" w:eastAsia="Calibri" w:hAnsi="Verdana" w:cs="Times New Roman"/>
          <w:b/>
          <w:sz w:val="16"/>
          <w:szCs w:val="16"/>
        </w:rPr>
      </w:pPr>
    </w:p>
    <w:p w:rsidR="00EA1C22" w:rsidRDefault="00EA1C22" w:rsidP="00D80E3E">
      <w:pPr>
        <w:spacing w:beforeLines="60" w:afterLines="60" w:line="240" w:lineRule="auto"/>
        <w:jc w:val="center"/>
        <w:outlineLvl w:val="0"/>
        <w:rPr>
          <w:rFonts w:ascii="Verdana" w:eastAsia="Calibri" w:hAnsi="Verdana" w:cs="Times New Roman"/>
          <w:b/>
          <w:sz w:val="16"/>
          <w:szCs w:val="16"/>
        </w:rPr>
      </w:pPr>
      <w:r w:rsidRPr="00BC2537">
        <w:rPr>
          <w:rFonts w:ascii="Verdana" w:eastAsia="Calibri" w:hAnsi="Verdana" w:cs="Times New Roman"/>
          <w:b/>
          <w:sz w:val="16"/>
          <w:szCs w:val="16"/>
        </w:rPr>
        <w:t>PROSPEKT INFORMACYJNY</w:t>
      </w:r>
    </w:p>
    <w:p w:rsidR="000D3C9B" w:rsidRPr="000D3C9B" w:rsidRDefault="000D3C9B" w:rsidP="000D3C9B">
      <w:pPr>
        <w:pStyle w:val="Nagwek"/>
        <w:ind w:left="-57"/>
        <w:jc w:val="center"/>
        <w:rPr>
          <w:rFonts w:ascii="Verdana" w:hAnsi="Verdana" w:cs="Arial"/>
          <w:b/>
          <w:sz w:val="16"/>
          <w:szCs w:val="16"/>
        </w:rPr>
      </w:pPr>
      <w:r w:rsidRPr="000D3C9B">
        <w:rPr>
          <w:rFonts w:ascii="Verdana" w:hAnsi="Verdana" w:cs="Arial"/>
          <w:b/>
          <w:sz w:val="16"/>
          <w:szCs w:val="16"/>
        </w:rPr>
        <w:t xml:space="preserve">DLA ZADANIA INWESTYCYJNEGO NUMER </w:t>
      </w:r>
      <w:r w:rsidR="00503813">
        <w:rPr>
          <w:rFonts w:ascii="Verdana" w:hAnsi="Verdana" w:cs="Arial"/>
          <w:b/>
          <w:sz w:val="16"/>
          <w:szCs w:val="16"/>
        </w:rPr>
        <w:t>3</w:t>
      </w:r>
      <w:r w:rsidR="003C567D">
        <w:rPr>
          <w:rFonts w:ascii="Verdana" w:hAnsi="Verdana" w:cs="Arial"/>
          <w:b/>
          <w:sz w:val="16"/>
          <w:szCs w:val="16"/>
        </w:rPr>
        <w:t xml:space="preserve">: </w:t>
      </w:r>
      <w:r w:rsidR="00750C30">
        <w:rPr>
          <w:rFonts w:ascii="Verdana" w:hAnsi="Verdana" w:cs="Arial"/>
          <w:b/>
          <w:sz w:val="16"/>
          <w:szCs w:val="16"/>
        </w:rPr>
        <w:t>BUDYNEK</w:t>
      </w:r>
      <w:r w:rsidR="00C37F70">
        <w:rPr>
          <w:rFonts w:ascii="Verdana" w:hAnsi="Verdana" w:cs="Arial"/>
          <w:b/>
          <w:sz w:val="16"/>
          <w:szCs w:val="16"/>
        </w:rPr>
        <w:t xml:space="preserve"> WIELORODZINNY</w:t>
      </w:r>
      <w:r w:rsidR="00503813">
        <w:rPr>
          <w:rFonts w:ascii="Verdana" w:hAnsi="Verdana" w:cs="Arial"/>
          <w:b/>
          <w:sz w:val="16"/>
          <w:szCs w:val="16"/>
        </w:rPr>
        <w:t xml:space="preserve"> NUMER 3</w:t>
      </w:r>
    </w:p>
    <w:p w:rsidR="00C37F70" w:rsidRDefault="000D3C9B" w:rsidP="000D3C9B">
      <w:pPr>
        <w:pStyle w:val="Nagwek"/>
        <w:ind w:left="-57"/>
        <w:jc w:val="center"/>
        <w:rPr>
          <w:rFonts w:ascii="Verdana" w:hAnsi="Verdana" w:cs="Arial"/>
          <w:b/>
          <w:sz w:val="16"/>
          <w:szCs w:val="16"/>
        </w:rPr>
      </w:pPr>
      <w:r w:rsidRPr="000D3C9B">
        <w:rPr>
          <w:rFonts w:ascii="Verdana" w:hAnsi="Verdana" w:cs="Arial"/>
          <w:b/>
          <w:sz w:val="16"/>
          <w:szCs w:val="16"/>
        </w:rPr>
        <w:t>STANOWIĄC</w:t>
      </w:r>
      <w:r w:rsidR="00C37F70">
        <w:rPr>
          <w:rFonts w:ascii="Verdana" w:hAnsi="Verdana" w:cs="Arial"/>
          <w:b/>
          <w:sz w:val="16"/>
          <w:szCs w:val="16"/>
        </w:rPr>
        <w:t>Y</w:t>
      </w:r>
      <w:r w:rsidRPr="000D3C9B">
        <w:rPr>
          <w:rFonts w:ascii="Verdana" w:hAnsi="Verdana" w:cs="Arial"/>
          <w:b/>
          <w:sz w:val="16"/>
          <w:szCs w:val="16"/>
        </w:rPr>
        <w:t xml:space="preserve"> CZĘŚĆ PRZEDSIĘWZIĘCIA DEWELOPERSKIEGO "SANTORINI"</w:t>
      </w:r>
      <w:r w:rsidR="00C37F70">
        <w:rPr>
          <w:rFonts w:ascii="Verdana" w:hAnsi="Verdana" w:cs="Arial"/>
          <w:b/>
          <w:sz w:val="16"/>
          <w:szCs w:val="16"/>
        </w:rPr>
        <w:t xml:space="preserve"> </w:t>
      </w:r>
    </w:p>
    <w:p w:rsidR="000D3C9B" w:rsidRPr="000D3C9B" w:rsidRDefault="00C37F70" w:rsidP="000D3C9B">
      <w:pPr>
        <w:pStyle w:val="Nagwek"/>
        <w:ind w:left="-57"/>
        <w:jc w:val="center"/>
        <w:rPr>
          <w:rFonts w:ascii="Verdana" w:hAnsi="Verdana" w:cs="Arial"/>
          <w:b/>
          <w:sz w:val="16"/>
          <w:szCs w:val="16"/>
        </w:rPr>
      </w:pPr>
      <w:r>
        <w:rPr>
          <w:rFonts w:ascii="Verdana" w:hAnsi="Verdana" w:cs="Arial"/>
          <w:b/>
          <w:sz w:val="16"/>
          <w:szCs w:val="16"/>
        </w:rPr>
        <w:t xml:space="preserve">SKŁADAJĄCEGO SIĘ Z </w:t>
      </w:r>
      <w:r w:rsidR="003C567D">
        <w:rPr>
          <w:rFonts w:ascii="Verdana" w:hAnsi="Verdana" w:cs="Arial"/>
          <w:b/>
          <w:sz w:val="16"/>
          <w:szCs w:val="16"/>
        </w:rPr>
        <w:t>12 BUDYNKÓW MIESZKALNYCH WIELORODZINNYCH</w:t>
      </w:r>
    </w:p>
    <w:p w:rsidR="000D3C9B" w:rsidRPr="00AA6E21" w:rsidRDefault="000D3C9B" w:rsidP="000D3C9B">
      <w:pPr>
        <w:pStyle w:val="Nagwek"/>
        <w:ind w:left="-57"/>
        <w:rPr>
          <w:rFonts w:ascii="Verdana" w:hAnsi="Verdana" w:cs="Arial"/>
          <w:b/>
          <w:sz w:val="18"/>
          <w:szCs w:val="18"/>
        </w:rPr>
      </w:pPr>
    </w:p>
    <w:p w:rsidR="00EA1C22" w:rsidRPr="00BC2537" w:rsidRDefault="00EA1C22" w:rsidP="00D80E3E">
      <w:pPr>
        <w:spacing w:beforeLines="60" w:afterLines="60" w:line="240" w:lineRule="auto"/>
        <w:outlineLvl w:val="0"/>
        <w:rPr>
          <w:rFonts w:ascii="Verdana" w:eastAsia="Calibri" w:hAnsi="Verdana" w:cs="Times New Roman"/>
          <w:b/>
          <w:sz w:val="16"/>
          <w:szCs w:val="16"/>
        </w:rPr>
      </w:pPr>
      <w:r w:rsidRPr="00BC2537">
        <w:rPr>
          <w:rFonts w:ascii="Verdana" w:eastAsia="Calibri" w:hAnsi="Verdana" w:cs="Times New Roman"/>
          <w:b/>
          <w:sz w:val="16"/>
          <w:szCs w:val="16"/>
        </w:rPr>
        <w:t>CZĘŚĆ OGÓLNA</w:t>
      </w:r>
    </w:p>
    <w:p w:rsidR="00EA1C22" w:rsidRPr="00BC2537" w:rsidRDefault="00EA1C22" w:rsidP="00BC2537">
      <w:pPr>
        <w:spacing w:after="0" w:line="240" w:lineRule="auto"/>
        <w:outlineLvl w:val="0"/>
        <w:rPr>
          <w:rFonts w:ascii="Verdana" w:eastAsia="Calibri" w:hAnsi="Verdana" w:cs="Times New Roman"/>
          <w:b/>
          <w:sz w:val="16"/>
          <w:szCs w:val="16"/>
        </w:rPr>
      </w:pPr>
    </w:p>
    <w:p w:rsidR="00EA1C22" w:rsidRPr="00BC2537" w:rsidRDefault="00EA1C22" w:rsidP="00932C5A">
      <w:pPr>
        <w:widowControl w:val="0"/>
        <w:numPr>
          <w:ilvl w:val="0"/>
          <w:numId w:val="1"/>
        </w:numPr>
        <w:autoSpaceDE w:val="0"/>
        <w:autoSpaceDN w:val="0"/>
        <w:adjustRightInd w:val="0"/>
        <w:spacing w:after="100" w:afterAutospacing="1" w:line="240" w:lineRule="auto"/>
        <w:ind w:left="1077"/>
        <w:rPr>
          <w:rFonts w:ascii="Verdana" w:eastAsia="Times New Roman" w:hAnsi="Verdana" w:cs="Times New Roman"/>
          <w:b/>
          <w:bCs/>
          <w:sz w:val="16"/>
          <w:szCs w:val="16"/>
        </w:rPr>
      </w:pPr>
      <w:r w:rsidRPr="00BC2537">
        <w:rPr>
          <w:rFonts w:ascii="Verdana" w:eastAsia="Times New Roman" w:hAnsi="Verdana" w:cs="Times New Roman"/>
          <w:b/>
          <w:bCs/>
          <w:sz w:val="16"/>
          <w:szCs w:val="16"/>
        </w:rPr>
        <w:t>DANE IDENTYFIKACYJNE I KONTAKTOWE DOTYCZĄCE DEWELOPERA</w:t>
      </w:r>
    </w:p>
    <w:tbl>
      <w:tblPr>
        <w:tblpPr w:leftFromText="141" w:rightFromText="141" w:vertAnchor="text" w:horzAnchor="margin" w:tblpY="50"/>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6"/>
        <w:gridCol w:w="3618"/>
        <w:gridCol w:w="3819"/>
      </w:tblGrid>
      <w:tr w:rsidR="00EA1C22" w:rsidRPr="00BC2537" w:rsidTr="001F7FC1">
        <w:tc>
          <w:tcPr>
            <w:tcW w:w="9648" w:type="dxa"/>
            <w:gridSpan w:val="3"/>
            <w:tcBorders>
              <w:bottom w:val="single" w:sz="4" w:space="0" w:color="auto"/>
            </w:tcBorders>
            <w:shd w:val="clear" w:color="auto" w:fill="E0E0E0"/>
          </w:tcPr>
          <w:p w:rsidR="00EA1C22" w:rsidRPr="00BC2537" w:rsidRDefault="00EA1C22" w:rsidP="00D80E3E">
            <w:pPr>
              <w:spacing w:beforeLines="60" w:afterLines="60" w:line="240" w:lineRule="auto"/>
              <w:rPr>
                <w:rFonts w:ascii="Verdana" w:eastAsia="Times New Roman" w:hAnsi="Verdana" w:cs="Times New Roman"/>
                <w:b/>
                <w:bCs/>
                <w:sz w:val="16"/>
                <w:szCs w:val="16"/>
              </w:rPr>
            </w:pPr>
            <w:r w:rsidRPr="00BC2537">
              <w:rPr>
                <w:rFonts w:ascii="Verdana" w:eastAsia="Times New Roman" w:hAnsi="Verdana" w:cs="Times New Roman"/>
                <w:b/>
                <w:bCs/>
                <w:sz w:val="16"/>
                <w:szCs w:val="16"/>
              </w:rPr>
              <w:t>DANE DEWELOPERA</w:t>
            </w:r>
          </w:p>
        </w:tc>
      </w:tr>
      <w:tr w:rsidR="00EA1C22" w:rsidRPr="00BC2537" w:rsidTr="001F7FC1">
        <w:trPr>
          <w:trHeight w:val="375"/>
        </w:trPr>
        <w:tc>
          <w:tcPr>
            <w:tcW w:w="298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Deweloper</w:t>
            </w:r>
          </w:p>
        </w:tc>
        <w:tc>
          <w:tcPr>
            <w:tcW w:w="6660" w:type="dxa"/>
            <w:gridSpan w:val="2"/>
          </w:tcPr>
          <w:p w:rsidR="00EA1C22" w:rsidRPr="00AC1CE1" w:rsidRDefault="001671B3" w:rsidP="00AC1CE1">
            <w:pPr>
              <w:shd w:val="clear" w:color="auto" w:fill="FFFFFF"/>
              <w:spacing w:before="120" w:after="120"/>
              <w:rPr>
                <w:rFonts w:ascii="Verdana" w:hAnsi="Verdana" w:cs="Arial"/>
                <w:b/>
                <w:sz w:val="12"/>
                <w:szCs w:val="12"/>
              </w:rPr>
            </w:pPr>
            <w:r w:rsidRPr="00F918CF">
              <w:rPr>
                <w:rFonts w:ascii="Verdana" w:hAnsi="Verdana" w:cs="Arial"/>
                <w:b/>
                <w:sz w:val="18"/>
                <w:szCs w:val="18"/>
              </w:rPr>
              <w:t>INVEST HOUSE</w:t>
            </w:r>
            <w:r>
              <w:rPr>
                <w:rFonts w:ascii="Verdana" w:hAnsi="Verdana" w:cs="Arial"/>
                <w:b/>
                <w:sz w:val="18"/>
                <w:szCs w:val="18"/>
              </w:rPr>
              <w:t xml:space="preserve"> </w:t>
            </w:r>
            <w:r w:rsidRPr="00F918CF">
              <w:rPr>
                <w:rFonts w:ascii="Verdana" w:hAnsi="Verdana" w:cs="Arial"/>
                <w:b/>
                <w:sz w:val="18"/>
                <w:szCs w:val="18"/>
              </w:rPr>
              <w:t>ŁUKASZ CHRÓŚCICKI I ROBERT WOLAK SPÓŁKA KOMANDYTOWA</w:t>
            </w:r>
            <w:r>
              <w:rPr>
                <w:rFonts w:ascii="Verdana" w:hAnsi="Verdana" w:cs="Arial"/>
                <w:b/>
                <w:sz w:val="18"/>
                <w:szCs w:val="18"/>
              </w:rPr>
              <w:t xml:space="preserve"> </w:t>
            </w:r>
            <w:r w:rsidRPr="00F918CF">
              <w:rPr>
                <w:rFonts w:ascii="Verdana" w:hAnsi="Verdana" w:cs="Arial"/>
                <w:b/>
                <w:sz w:val="18"/>
                <w:szCs w:val="18"/>
              </w:rPr>
              <w:t>KRS 0000538268</w:t>
            </w:r>
          </w:p>
        </w:tc>
      </w:tr>
      <w:tr w:rsidR="00EA1C22" w:rsidRPr="00BC2537" w:rsidTr="001F7FC1">
        <w:trPr>
          <w:trHeight w:val="1327"/>
        </w:trPr>
        <w:tc>
          <w:tcPr>
            <w:tcW w:w="298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Adres </w:t>
            </w:r>
          </w:p>
        </w:tc>
        <w:tc>
          <w:tcPr>
            <w:tcW w:w="6660" w:type="dxa"/>
            <w:gridSpan w:val="2"/>
          </w:tcPr>
          <w:p w:rsidR="001671B3" w:rsidRPr="001671B3" w:rsidRDefault="001671B3" w:rsidP="001671B3">
            <w:pPr>
              <w:shd w:val="clear" w:color="auto" w:fill="FFFFFF"/>
              <w:spacing w:before="120" w:after="0"/>
              <w:rPr>
                <w:rFonts w:ascii="Verdana" w:hAnsi="Verdana" w:cs="Arial"/>
                <w:b/>
                <w:sz w:val="18"/>
                <w:szCs w:val="18"/>
              </w:rPr>
            </w:pPr>
            <w:r w:rsidRPr="001671B3">
              <w:rPr>
                <w:rFonts w:ascii="Verdana" w:hAnsi="Verdana" w:cs="Arial"/>
                <w:b/>
                <w:sz w:val="18"/>
                <w:szCs w:val="18"/>
              </w:rPr>
              <w:t xml:space="preserve">BIURO DEWELOPERA: </w:t>
            </w:r>
          </w:p>
          <w:p w:rsidR="001671B3" w:rsidRPr="001671B3" w:rsidRDefault="001671B3" w:rsidP="00225ADA">
            <w:pPr>
              <w:shd w:val="clear" w:color="auto" w:fill="FFFFFF"/>
              <w:spacing w:after="120"/>
              <w:rPr>
                <w:rFonts w:ascii="Verdana" w:hAnsi="Verdana" w:cs="Arial"/>
                <w:b/>
                <w:sz w:val="18"/>
                <w:szCs w:val="18"/>
              </w:rPr>
            </w:pPr>
            <w:r w:rsidRPr="001671B3">
              <w:rPr>
                <w:rFonts w:ascii="Verdana" w:hAnsi="Verdana" w:cs="Arial"/>
                <w:b/>
                <w:sz w:val="18"/>
                <w:szCs w:val="18"/>
              </w:rPr>
              <w:t>UL. MARII KONOPNICKIEJ 11C/B, 76-251 KOBYLNICA</w:t>
            </w:r>
          </w:p>
          <w:p w:rsidR="001671B3" w:rsidRPr="004F2EE2" w:rsidRDefault="001671B3" w:rsidP="001671B3">
            <w:pPr>
              <w:shd w:val="clear" w:color="auto" w:fill="FFFFFF"/>
              <w:spacing w:after="0"/>
              <w:rPr>
                <w:rFonts w:ascii="Verdana" w:hAnsi="Verdana" w:cs="Arial"/>
                <w:b/>
                <w:sz w:val="18"/>
                <w:szCs w:val="18"/>
              </w:rPr>
            </w:pPr>
            <w:r w:rsidRPr="004F2EE2">
              <w:rPr>
                <w:rFonts w:ascii="Verdana" w:hAnsi="Verdana" w:cs="Arial"/>
                <w:b/>
                <w:sz w:val="18"/>
                <w:szCs w:val="18"/>
              </w:rPr>
              <w:t>BIURO SPRZEDAŻY:</w:t>
            </w:r>
          </w:p>
          <w:p w:rsidR="0056380A" w:rsidRDefault="001671B3" w:rsidP="0056380A">
            <w:pPr>
              <w:shd w:val="clear" w:color="auto" w:fill="FFFFFF"/>
              <w:spacing w:after="0"/>
              <w:rPr>
                <w:rFonts w:ascii="Verdana" w:hAnsi="Verdana" w:cs="Arial"/>
                <w:b/>
                <w:sz w:val="18"/>
                <w:szCs w:val="18"/>
              </w:rPr>
            </w:pPr>
            <w:r w:rsidRPr="004F2EE2">
              <w:rPr>
                <w:rFonts w:ascii="Verdana" w:hAnsi="Verdana" w:cs="Arial"/>
                <w:b/>
                <w:sz w:val="18"/>
                <w:szCs w:val="18"/>
              </w:rPr>
              <w:t xml:space="preserve">POŁAWSCY NIERUCHOMOŚCI </w:t>
            </w:r>
          </w:p>
          <w:p w:rsidR="00EA1C22" w:rsidRPr="0056380A" w:rsidRDefault="001671B3" w:rsidP="0056380A">
            <w:pPr>
              <w:shd w:val="clear" w:color="auto" w:fill="FFFFFF"/>
              <w:spacing w:after="120"/>
              <w:rPr>
                <w:rFonts w:ascii="Verdana" w:hAnsi="Verdana" w:cs="Arial"/>
                <w:b/>
                <w:color w:val="FF0000"/>
                <w:sz w:val="18"/>
                <w:szCs w:val="18"/>
              </w:rPr>
            </w:pPr>
            <w:r w:rsidRPr="004F2EE2">
              <w:rPr>
                <w:rFonts w:ascii="Verdana" w:hAnsi="Verdana" w:cs="Arial"/>
                <w:b/>
                <w:sz w:val="18"/>
                <w:szCs w:val="18"/>
              </w:rPr>
              <w:t>UL. KILIŃSKIEGO 49A, 76-200 SŁUPSK</w:t>
            </w:r>
          </w:p>
        </w:tc>
      </w:tr>
      <w:tr w:rsidR="00EA1C22" w:rsidRPr="00BC2537" w:rsidTr="001F7FC1">
        <w:trPr>
          <w:trHeight w:val="188"/>
        </w:trPr>
        <w:tc>
          <w:tcPr>
            <w:tcW w:w="298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NIP</w:t>
            </w:r>
            <w:r w:rsidR="00CE081A">
              <w:rPr>
                <w:rFonts w:ascii="Verdana" w:eastAsia="Times New Roman" w:hAnsi="Verdana" w:cs="Times New Roman"/>
                <w:sz w:val="16"/>
                <w:szCs w:val="16"/>
              </w:rPr>
              <w:t xml:space="preserve"> i </w:t>
            </w:r>
            <w:r w:rsidRPr="00BC2537">
              <w:rPr>
                <w:rFonts w:ascii="Verdana" w:eastAsia="Times New Roman" w:hAnsi="Verdana" w:cs="Times New Roman"/>
                <w:sz w:val="16"/>
                <w:szCs w:val="16"/>
              </w:rPr>
              <w:t>REGON</w:t>
            </w:r>
          </w:p>
        </w:tc>
        <w:tc>
          <w:tcPr>
            <w:tcW w:w="3240" w:type="dxa"/>
          </w:tcPr>
          <w:p w:rsidR="001671B3" w:rsidRPr="0056380A" w:rsidRDefault="0056380A" w:rsidP="00D80E3E">
            <w:pPr>
              <w:spacing w:beforeLines="60" w:afterLines="60" w:line="240" w:lineRule="auto"/>
              <w:rPr>
                <w:rFonts w:ascii="Verdana" w:eastAsia="Times New Roman" w:hAnsi="Verdana" w:cs="Times New Roman"/>
                <w:b/>
                <w:sz w:val="18"/>
                <w:szCs w:val="18"/>
              </w:rPr>
            </w:pPr>
            <w:r w:rsidRPr="0056380A">
              <w:rPr>
                <w:rFonts w:ascii="Verdana" w:eastAsia="Times New Roman" w:hAnsi="Verdana" w:cs="Times New Roman"/>
                <w:b/>
                <w:sz w:val="18"/>
                <w:szCs w:val="18"/>
              </w:rPr>
              <w:t xml:space="preserve">NIP </w:t>
            </w:r>
            <w:r w:rsidR="001671B3" w:rsidRPr="0056380A">
              <w:rPr>
                <w:rFonts w:ascii="Verdana" w:hAnsi="Verdana" w:cs="Arial"/>
                <w:b/>
                <w:sz w:val="18"/>
                <w:szCs w:val="18"/>
              </w:rPr>
              <w:t>8393177856</w:t>
            </w:r>
          </w:p>
        </w:tc>
        <w:tc>
          <w:tcPr>
            <w:tcW w:w="3420" w:type="dxa"/>
            <w:shd w:val="clear" w:color="auto" w:fill="auto"/>
          </w:tcPr>
          <w:p w:rsidR="001671B3" w:rsidRPr="0056380A" w:rsidRDefault="00EA1C22" w:rsidP="00D80E3E">
            <w:pPr>
              <w:spacing w:beforeLines="60" w:afterLines="60" w:line="240" w:lineRule="auto"/>
              <w:rPr>
                <w:rFonts w:ascii="Verdana" w:eastAsia="Times New Roman" w:hAnsi="Verdana" w:cs="Times New Roman"/>
                <w:b/>
                <w:sz w:val="18"/>
                <w:szCs w:val="18"/>
              </w:rPr>
            </w:pPr>
            <w:r w:rsidRPr="0056380A">
              <w:rPr>
                <w:rFonts w:ascii="Verdana" w:eastAsia="Times New Roman" w:hAnsi="Verdana" w:cs="Times New Roman"/>
                <w:b/>
                <w:sz w:val="18"/>
                <w:szCs w:val="18"/>
              </w:rPr>
              <w:t>REGON</w:t>
            </w:r>
            <w:r w:rsidR="0056380A" w:rsidRPr="0056380A">
              <w:rPr>
                <w:rFonts w:ascii="Verdana" w:eastAsia="Times New Roman" w:hAnsi="Verdana" w:cs="Times New Roman"/>
                <w:b/>
                <w:sz w:val="18"/>
                <w:szCs w:val="18"/>
              </w:rPr>
              <w:t xml:space="preserve"> </w:t>
            </w:r>
            <w:r w:rsidR="001671B3" w:rsidRPr="0056380A">
              <w:rPr>
                <w:rFonts w:ascii="Verdana" w:hAnsi="Verdana" w:cs="Arial"/>
                <w:b/>
                <w:sz w:val="18"/>
                <w:szCs w:val="18"/>
              </w:rPr>
              <w:t>360537787</w:t>
            </w:r>
          </w:p>
        </w:tc>
      </w:tr>
      <w:tr w:rsidR="00EA1C22" w:rsidRPr="00BC2537" w:rsidTr="001F7FC1">
        <w:tc>
          <w:tcPr>
            <w:tcW w:w="298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telefonu</w:t>
            </w:r>
          </w:p>
        </w:tc>
        <w:tc>
          <w:tcPr>
            <w:tcW w:w="6660" w:type="dxa"/>
            <w:gridSpan w:val="2"/>
          </w:tcPr>
          <w:p w:rsidR="00EA1C22" w:rsidRPr="00BC2537" w:rsidRDefault="001671B3" w:rsidP="00D80E3E">
            <w:pPr>
              <w:spacing w:beforeLines="60" w:afterLines="60" w:line="240" w:lineRule="auto"/>
              <w:rPr>
                <w:rFonts w:ascii="Verdana" w:eastAsia="Times New Roman" w:hAnsi="Verdana" w:cs="Times New Roman"/>
                <w:sz w:val="16"/>
                <w:szCs w:val="16"/>
              </w:rPr>
            </w:pPr>
            <w:r w:rsidRPr="00F918CF">
              <w:rPr>
                <w:rFonts w:ascii="Verdana" w:hAnsi="Verdana" w:cs="Arial"/>
                <w:b/>
                <w:sz w:val="18"/>
                <w:szCs w:val="18"/>
              </w:rPr>
              <w:t xml:space="preserve">biuro sprzedaży: 885 402 </w:t>
            </w:r>
            <w:proofErr w:type="spellStart"/>
            <w:r w:rsidRPr="00F918CF">
              <w:rPr>
                <w:rFonts w:ascii="Verdana" w:hAnsi="Verdana" w:cs="Arial"/>
                <w:b/>
                <w:sz w:val="18"/>
                <w:szCs w:val="18"/>
              </w:rPr>
              <w:t>402</w:t>
            </w:r>
            <w:proofErr w:type="spellEnd"/>
          </w:p>
        </w:tc>
      </w:tr>
      <w:tr w:rsidR="00EA1C22" w:rsidRPr="00BC2537" w:rsidTr="001F7FC1">
        <w:trPr>
          <w:trHeight w:val="272"/>
        </w:trPr>
        <w:tc>
          <w:tcPr>
            <w:tcW w:w="298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Adres poczty elektronicznej</w:t>
            </w:r>
          </w:p>
        </w:tc>
        <w:tc>
          <w:tcPr>
            <w:tcW w:w="6660" w:type="dxa"/>
            <w:gridSpan w:val="2"/>
          </w:tcPr>
          <w:p w:rsidR="00EA1C22" w:rsidRPr="00BC2537" w:rsidRDefault="001671B3" w:rsidP="00D80E3E">
            <w:pPr>
              <w:spacing w:beforeLines="60" w:afterLines="60" w:line="240" w:lineRule="auto"/>
              <w:rPr>
                <w:rFonts w:ascii="Verdana" w:eastAsia="Times New Roman" w:hAnsi="Verdana" w:cs="Times New Roman"/>
                <w:sz w:val="16"/>
                <w:szCs w:val="16"/>
              </w:rPr>
            </w:pPr>
            <w:r w:rsidRPr="00F918CF">
              <w:rPr>
                <w:rFonts w:ascii="Verdana" w:hAnsi="Verdana" w:cs="Arial"/>
                <w:b/>
                <w:sz w:val="18"/>
                <w:szCs w:val="18"/>
              </w:rPr>
              <w:t>biuro sprzedaży: www.polawscy.pl</w:t>
            </w:r>
          </w:p>
        </w:tc>
      </w:tr>
      <w:tr w:rsidR="00EA1C22" w:rsidRPr="00BC2537" w:rsidTr="001F7FC1">
        <w:tc>
          <w:tcPr>
            <w:tcW w:w="298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faksu</w:t>
            </w:r>
          </w:p>
        </w:tc>
        <w:tc>
          <w:tcPr>
            <w:tcW w:w="6660" w:type="dxa"/>
            <w:gridSpan w:val="2"/>
          </w:tcPr>
          <w:p w:rsidR="00EA1C22" w:rsidRPr="00BC2537" w:rsidRDefault="00EA1C22" w:rsidP="00D80E3E">
            <w:pPr>
              <w:spacing w:beforeLines="60" w:afterLines="60" w:line="240" w:lineRule="auto"/>
              <w:rPr>
                <w:rFonts w:ascii="Verdana" w:eastAsia="Times New Roman" w:hAnsi="Verdana" w:cs="Times New Roman"/>
                <w:sz w:val="16"/>
                <w:szCs w:val="16"/>
              </w:rPr>
            </w:pPr>
          </w:p>
        </w:tc>
      </w:tr>
      <w:tr w:rsidR="00EA1C22" w:rsidRPr="00BC2537" w:rsidTr="001F7FC1">
        <w:trPr>
          <w:trHeight w:val="218"/>
        </w:trPr>
        <w:tc>
          <w:tcPr>
            <w:tcW w:w="298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Adres strony internetowej dewelopera</w:t>
            </w:r>
          </w:p>
        </w:tc>
        <w:tc>
          <w:tcPr>
            <w:tcW w:w="6660" w:type="dxa"/>
            <w:gridSpan w:val="2"/>
            <w:shd w:val="clear" w:color="auto" w:fill="auto"/>
          </w:tcPr>
          <w:p w:rsidR="00EA1C22" w:rsidRPr="00BC2537" w:rsidRDefault="00034C31" w:rsidP="00D80E3E">
            <w:pPr>
              <w:spacing w:beforeLines="60" w:afterLines="60" w:line="240" w:lineRule="auto"/>
              <w:rPr>
                <w:rFonts w:ascii="Verdana" w:eastAsia="Times New Roman" w:hAnsi="Verdana" w:cs="Times New Roman"/>
                <w:sz w:val="16"/>
                <w:szCs w:val="16"/>
              </w:rPr>
            </w:pPr>
            <w:r w:rsidRPr="00F918CF">
              <w:rPr>
                <w:rFonts w:ascii="Verdana" w:hAnsi="Verdana" w:cs="Arial"/>
                <w:b/>
                <w:sz w:val="18"/>
                <w:szCs w:val="18"/>
              </w:rPr>
              <w:t>biuro sprzedaży: biuro@polawscy.pl</w:t>
            </w:r>
          </w:p>
        </w:tc>
      </w:tr>
    </w:tbl>
    <w:p w:rsidR="00EA1C22" w:rsidRPr="00BC2537" w:rsidRDefault="00EA1C22" w:rsidP="00D2744C">
      <w:pPr>
        <w:widowControl w:val="0"/>
        <w:numPr>
          <w:ilvl w:val="0"/>
          <w:numId w:val="1"/>
        </w:numPr>
        <w:autoSpaceDE w:val="0"/>
        <w:autoSpaceDN w:val="0"/>
        <w:adjustRightInd w:val="0"/>
        <w:spacing w:before="120" w:after="120" w:line="240" w:lineRule="auto"/>
        <w:ind w:left="1077"/>
        <w:rPr>
          <w:rFonts w:ascii="Verdana" w:eastAsia="Times New Roman" w:hAnsi="Verdana" w:cs="Times New Roman"/>
          <w:b/>
          <w:sz w:val="16"/>
          <w:szCs w:val="16"/>
        </w:rPr>
      </w:pPr>
      <w:r w:rsidRPr="00BC2537">
        <w:rPr>
          <w:rFonts w:ascii="Verdana" w:eastAsia="Times New Roman" w:hAnsi="Verdana" w:cs="Times New Roman"/>
          <w:b/>
          <w:sz w:val="16"/>
          <w:szCs w:val="16"/>
        </w:rPr>
        <w:t>DOŚWIADCZENIE DEWELOPERA</w:t>
      </w:r>
    </w:p>
    <w:tbl>
      <w:tblPr>
        <w:tblpPr w:leftFromText="141" w:rightFromText="141" w:vertAnchor="text" w:horzAnchor="margin" w:tblpY="55"/>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73"/>
      </w:tblGrid>
      <w:tr w:rsidR="00EA1C22" w:rsidRPr="00BC2537" w:rsidTr="001F7FC1">
        <w:trPr>
          <w:trHeight w:val="704"/>
        </w:trPr>
        <w:tc>
          <w:tcPr>
            <w:tcW w:w="9648" w:type="dxa"/>
            <w:tcBorders>
              <w:bottom w:val="single" w:sz="4" w:space="0" w:color="auto"/>
            </w:tcBorders>
            <w:shd w:val="clear" w:color="auto" w:fill="E0E0E0"/>
          </w:tcPr>
          <w:p w:rsidR="00EA1C22" w:rsidRPr="00BC2537" w:rsidRDefault="00EA1C22" w:rsidP="00D80E3E">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HISTORIA I UDOKUMENTOWANE</w:t>
            </w:r>
            <w:r w:rsidR="00920895" w:rsidRPr="00BC2537">
              <w:rPr>
                <w:rFonts w:ascii="Verdana" w:eastAsia="Times New Roman" w:hAnsi="Verdana" w:cs="Times New Roman"/>
                <w:b/>
                <w:sz w:val="16"/>
                <w:szCs w:val="16"/>
              </w:rPr>
              <w:t xml:space="preserve"> </w:t>
            </w:r>
            <w:r w:rsidRPr="00BC2537">
              <w:rPr>
                <w:rFonts w:ascii="Verdana" w:eastAsia="Times New Roman" w:hAnsi="Verdana" w:cs="Times New Roman"/>
                <w:b/>
                <w:sz w:val="16"/>
                <w:szCs w:val="16"/>
              </w:rPr>
              <w:t>DOŚWIADCZENIE DEWELOPERA</w:t>
            </w:r>
          </w:p>
        </w:tc>
      </w:tr>
    </w:tbl>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7632"/>
      </w:tblGrid>
      <w:tr w:rsidR="00EA1C22" w:rsidRPr="00BC2537" w:rsidTr="001F7FC1">
        <w:tc>
          <w:tcPr>
            <w:tcW w:w="9648" w:type="dxa"/>
            <w:gridSpan w:val="2"/>
            <w:tcBorders>
              <w:bottom w:val="single" w:sz="4" w:space="0" w:color="auto"/>
            </w:tcBorders>
            <w:shd w:val="clear" w:color="auto" w:fill="E0E0E0"/>
          </w:tcPr>
          <w:p w:rsidR="00EA1C22" w:rsidRPr="00BC2537" w:rsidRDefault="00EA1C22" w:rsidP="00D80E3E">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PRZYKŁAD UKOŃCZONEGO PRZEDSIĘWZIĘCIA DEWELOPERSKIEGO (należy wskazać, o ile istnieją, trzy ukończone przedsięwzięcia deweloperskie, w</w:t>
            </w:r>
            <w:r w:rsidR="00920895" w:rsidRPr="00BC2537">
              <w:rPr>
                <w:rFonts w:ascii="Verdana" w:eastAsia="Times New Roman" w:hAnsi="Verdana" w:cs="Times New Roman"/>
                <w:b/>
                <w:sz w:val="16"/>
                <w:szCs w:val="16"/>
              </w:rPr>
              <w:t xml:space="preserve"> </w:t>
            </w:r>
            <w:r w:rsidRPr="00BC2537">
              <w:rPr>
                <w:rFonts w:ascii="Verdana" w:eastAsia="Times New Roman" w:hAnsi="Verdana" w:cs="Times New Roman"/>
                <w:b/>
                <w:sz w:val="16"/>
                <w:szCs w:val="16"/>
              </w:rPr>
              <w:t>tym</w:t>
            </w:r>
            <w:r w:rsidR="00920895" w:rsidRPr="00BC2537">
              <w:rPr>
                <w:rFonts w:ascii="Verdana" w:eastAsia="Times New Roman" w:hAnsi="Verdana" w:cs="Times New Roman"/>
                <w:b/>
                <w:sz w:val="16"/>
                <w:szCs w:val="16"/>
              </w:rPr>
              <w:t xml:space="preserve"> </w:t>
            </w:r>
            <w:r w:rsidRPr="00BC2537">
              <w:rPr>
                <w:rFonts w:ascii="Verdana" w:eastAsia="Times New Roman" w:hAnsi="Verdana" w:cs="Times New Roman"/>
                <w:b/>
                <w:sz w:val="16"/>
                <w:szCs w:val="16"/>
              </w:rPr>
              <w:t>ostatnie)</w:t>
            </w:r>
          </w:p>
        </w:tc>
      </w:tr>
      <w:tr w:rsidR="00EA1C22" w:rsidRPr="00BC2537" w:rsidTr="001F7FC1">
        <w:trPr>
          <w:trHeight w:val="135"/>
        </w:trPr>
        <w:tc>
          <w:tcPr>
            <w:tcW w:w="2813"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Adres </w:t>
            </w:r>
          </w:p>
        </w:tc>
        <w:tc>
          <w:tcPr>
            <w:tcW w:w="6835" w:type="dxa"/>
          </w:tcPr>
          <w:p w:rsidR="00872473" w:rsidRPr="00334BF7" w:rsidRDefault="00872473" w:rsidP="00E20B04">
            <w:pPr>
              <w:shd w:val="clear" w:color="auto" w:fill="FFFFFF"/>
              <w:spacing w:before="120" w:after="0"/>
              <w:rPr>
                <w:rFonts w:ascii="Verdana" w:hAnsi="Verdana" w:cs="Arial"/>
                <w:sz w:val="18"/>
                <w:szCs w:val="18"/>
              </w:rPr>
            </w:pPr>
            <w:r w:rsidRPr="00334BF7">
              <w:rPr>
                <w:rFonts w:ascii="Verdana" w:hAnsi="Verdana" w:cs="Arial"/>
                <w:sz w:val="18"/>
                <w:szCs w:val="18"/>
              </w:rPr>
              <w:t>SŁONECZNE TARASY II - 29 BUDYNKÓW MIESZKALNYCH JEDNORODZINNYCH</w:t>
            </w:r>
          </w:p>
          <w:p w:rsidR="00EA1C22" w:rsidRPr="00334BF7" w:rsidRDefault="00872473" w:rsidP="00E20B04">
            <w:pPr>
              <w:shd w:val="clear" w:color="auto" w:fill="FFFFFF"/>
              <w:spacing w:after="120"/>
              <w:rPr>
                <w:rFonts w:ascii="Verdana" w:hAnsi="Verdana" w:cs="Arial"/>
                <w:sz w:val="18"/>
                <w:szCs w:val="18"/>
              </w:rPr>
            </w:pPr>
            <w:r w:rsidRPr="00334BF7">
              <w:rPr>
                <w:rFonts w:ascii="Verdana" w:hAnsi="Verdana" w:cs="Arial"/>
                <w:sz w:val="18"/>
                <w:szCs w:val="18"/>
              </w:rPr>
              <w:t>KOBYLNICA, UL. HERBERTA, UL. IWASZKIEWICZA, UL. CHOTOMSKIEJ</w:t>
            </w:r>
          </w:p>
        </w:tc>
      </w:tr>
      <w:tr w:rsidR="00EA1C22" w:rsidRPr="00BC2537" w:rsidTr="001F7FC1">
        <w:tc>
          <w:tcPr>
            <w:tcW w:w="2813"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Data rozpoczęcia </w:t>
            </w:r>
          </w:p>
        </w:tc>
        <w:tc>
          <w:tcPr>
            <w:tcW w:w="6835" w:type="dxa"/>
          </w:tcPr>
          <w:p w:rsidR="00EA1C22" w:rsidRPr="00334BF7" w:rsidRDefault="00872473" w:rsidP="00D80E3E">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27.12.2017 R.</w:t>
            </w:r>
          </w:p>
        </w:tc>
      </w:tr>
      <w:tr w:rsidR="00EA1C22" w:rsidRPr="00BC2537" w:rsidTr="001F7FC1">
        <w:tc>
          <w:tcPr>
            <w:tcW w:w="2813"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Data wydania decyzji o pozwoleniu na użytkowanie</w:t>
            </w:r>
          </w:p>
        </w:tc>
        <w:tc>
          <w:tcPr>
            <w:tcW w:w="6835" w:type="dxa"/>
          </w:tcPr>
          <w:p w:rsidR="00EA1C22" w:rsidRPr="00334BF7" w:rsidRDefault="00872473" w:rsidP="00D80E3E">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10.12.2019 R.</w:t>
            </w:r>
          </w:p>
        </w:tc>
      </w:tr>
      <w:tr w:rsidR="00EA1C22" w:rsidRPr="00BC2537" w:rsidTr="001F7FC1">
        <w:tc>
          <w:tcPr>
            <w:tcW w:w="9648" w:type="dxa"/>
            <w:gridSpan w:val="2"/>
            <w:tcBorders>
              <w:bottom w:val="single" w:sz="4" w:space="0" w:color="auto"/>
            </w:tcBorders>
            <w:shd w:val="clear" w:color="auto" w:fill="E0E0E0"/>
          </w:tcPr>
          <w:p w:rsidR="00EA1C22" w:rsidRPr="00BC2537" w:rsidRDefault="00EA1C22" w:rsidP="00D80E3E">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PRZYKŁAD INNEGO UKOŃCZONEGO PRZEDSIĘWZIĘCIA DEWELOPERSKIEGO</w:t>
            </w:r>
          </w:p>
        </w:tc>
      </w:tr>
      <w:tr w:rsidR="00EA1C22" w:rsidRPr="00BC2537" w:rsidTr="001F7FC1">
        <w:trPr>
          <w:trHeight w:val="135"/>
        </w:trPr>
        <w:tc>
          <w:tcPr>
            <w:tcW w:w="2813"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Adres </w:t>
            </w:r>
          </w:p>
        </w:tc>
        <w:tc>
          <w:tcPr>
            <w:tcW w:w="6835" w:type="dxa"/>
          </w:tcPr>
          <w:p w:rsidR="0056380A" w:rsidRPr="00334BF7" w:rsidRDefault="00872473" w:rsidP="0056380A">
            <w:pPr>
              <w:shd w:val="clear" w:color="auto" w:fill="FFFFFF"/>
              <w:spacing w:before="120" w:after="0"/>
              <w:rPr>
                <w:rFonts w:ascii="Verdana" w:hAnsi="Verdana" w:cs="Arial"/>
                <w:sz w:val="18"/>
                <w:szCs w:val="18"/>
              </w:rPr>
            </w:pPr>
            <w:r w:rsidRPr="00334BF7">
              <w:rPr>
                <w:rFonts w:ascii="Verdana" w:hAnsi="Verdana" w:cs="Arial"/>
                <w:sz w:val="18"/>
                <w:szCs w:val="18"/>
              </w:rPr>
              <w:t xml:space="preserve">PORTOFINO 1 - 19 BUDYNKÓW MIESZKALNYCH JEDNORODZINNYCH </w:t>
            </w:r>
          </w:p>
          <w:p w:rsidR="00EA1C22" w:rsidRPr="00334BF7" w:rsidRDefault="00872473" w:rsidP="0056380A">
            <w:pPr>
              <w:shd w:val="clear" w:color="auto" w:fill="FFFFFF"/>
              <w:spacing w:after="120"/>
              <w:rPr>
                <w:rFonts w:ascii="Verdana" w:eastAsia="Times New Roman" w:hAnsi="Verdana" w:cs="Times New Roman"/>
                <w:sz w:val="16"/>
                <w:szCs w:val="16"/>
              </w:rPr>
            </w:pPr>
            <w:r w:rsidRPr="00334BF7">
              <w:rPr>
                <w:rFonts w:ascii="Verdana" w:hAnsi="Verdana" w:cs="Arial"/>
                <w:sz w:val="18"/>
                <w:szCs w:val="18"/>
              </w:rPr>
              <w:t>KOBYLNICA, UL. KONOPNICKIEJ</w:t>
            </w:r>
          </w:p>
        </w:tc>
      </w:tr>
      <w:tr w:rsidR="00EA1C22" w:rsidRPr="00BC2537" w:rsidTr="001F7FC1">
        <w:tc>
          <w:tcPr>
            <w:tcW w:w="2813"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Data rozpoczęcia </w:t>
            </w:r>
          </w:p>
        </w:tc>
        <w:tc>
          <w:tcPr>
            <w:tcW w:w="6835" w:type="dxa"/>
          </w:tcPr>
          <w:p w:rsidR="00EA1C22" w:rsidRPr="00334BF7" w:rsidRDefault="00872473" w:rsidP="00D80E3E">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29.08.2019 R.</w:t>
            </w:r>
          </w:p>
        </w:tc>
      </w:tr>
      <w:tr w:rsidR="00EA1C22" w:rsidRPr="00BC2537" w:rsidTr="001F7FC1">
        <w:tc>
          <w:tcPr>
            <w:tcW w:w="2813"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Data wydania decyzji o pozwoleniu na użytkowanie</w:t>
            </w:r>
          </w:p>
        </w:tc>
        <w:tc>
          <w:tcPr>
            <w:tcW w:w="6835" w:type="dxa"/>
          </w:tcPr>
          <w:p w:rsidR="00EA1C22" w:rsidRPr="00334BF7" w:rsidRDefault="00872473" w:rsidP="00D80E3E">
            <w:pPr>
              <w:spacing w:beforeLines="60" w:after="0" w:line="240" w:lineRule="auto"/>
              <w:rPr>
                <w:rFonts w:ascii="Verdana" w:eastAsia="Times New Roman" w:hAnsi="Verdana" w:cs="Times New Roman"/>
                <w:sz w:val="16"/>
                <w:szCs w:val="16"/>
              </w:rPr>
            </w:pPr>
            <w:r w:rsidRPr="00334BF7">
              <w:rPr>
                <w:rFonts w:ascii="Verdana" w:hAnsi="Verdana" w:cs="Arial"/>
                <w:sz w:val="18"/>
                <w:szCs w:val="18"/>
              </w:rPr>
              <w:t>10.08.2021 R.</w:t>
            </w:r>
          </w:p>
        </w:tc>
      </w:tr>
      <w:tr w:rsidR="00EA1C22" w:rsidRPr="00BC2537" w:rsidTr="001F7FC1">
        <w:tc>
          <w:tcPr>
            <w:tcW w:w="9648" w:type="dxa"/>
            <w:gridSpan w:val="2"/>
            <w:tcBorders>
              <w:bottom w:val="single" w:sz="4" w:space="0" w:color="auto"/>
            </w:tcBorders>
            <w:shd w:val="clear" w:color="auto" w:fill="E0E0E0"/>
          </w:tcPr>
          <w:p w:rsidR="00EA1C22" w:rsidRPr="00BC2537" w:rsidRDefault="00EA1C22" w:rsidP="0056380A">
            <w:pPr>
              <w:spacing w:before="120" w:after="12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PRZYKŁAD OSTATNIEGO UKOŃCZONEGO PRZEDSIĘWZIĘCIA DEWELOPERSKIEGO</w:t>
            </w:r>
          </w:p>
        </w:tc>
      </w:tr>
      <w:tr w:rsidR="00EA1C22" w:rsidRPr="00334BF7" w:rsidTr="001F7FC1">
        <w:trPr>
          <w:trHeight w:val="135"/>
        </w:trPr>
        <w:tc>
          <w:tcPr>
            <w:tcW w:w="2813" w:type="dxa"/>
            <w:shd w:val="clear" w:color="auto" w:fill="F3F3F3"/>
          </w:tcPr>
          <w:p w:rsidR="00EA1C22" w:rsidRPr="00334BF7" w:rsidRDefault="00EA1C22" w:rsidP="00D80E3E">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lastRenderedPageBreak/>
              <w:t xml:space="preserve">Adres </w:t>
            </w:r>
          </w:p>
        </w:tc>
        <w:tc>
          <w:tcPr>
            <w:tcW w:w="6835" w:type="dxa"/>
          </w:tcPr>
          <w:p w:rsidR="00E20B04" w:rsidRPr="00334BF7" w:rsidRDefault="00E20B04" w:rsidP="0056380A">
            <w:pPr>
              <w:shd w:val="clear" w:color="auto" w:fill="FFFFFF"/>
              <w:spacing w:before="120" w:after="0" w:line="240" w:lineRule="auto"/>
              <w:rPr>
                <w:rFonts w:ascii="Verdana" w:hAnsi="Verdana" w:cs="Arial"/>
                <w:sz w:val="18"/>
                <w:szCs w:val="18"/>
              </w:rPr>
            </w:pPr>
            <w:r w:rsidRPr="00334BF7">
              <w:rPr>
                <w:rFonts w:ascii="Verdana" w:hAnsi="Verdana" w:cs="Arial"/>
                <w:sz w:val="18"/>
                <w:szCs w:val="18"/>
              </w:rPr>
              <w:t xml:space="preserve">PORTOFINO 3 - 21 BUDYNKÓW MIESZKALNYCH JEDNORODZINNYCH </w:t>
            </w:r>
          </w:p>
          <w:p w:rsidR="00EA1C22" w:rsidRPr="00334BF7" w:rsidRDefault="00E20B04" w:rsidP="0056380A">
            <w:pPr>
              <w:shd w:val="clear" w:color="auto" w:fill="FFFFFF"/>
              <w:spacing w:after="120" w:line="240" w:lineRule="auto"/>
              <w:rPr>
                <w:rFonts w:ascii="Verdana" w:eastAsia="Times New Roman" w:hAnsi="Verdana" w:cs="Times New Roman"/>
                <w:sz w:val="16"/>
                <w:szCs w:val="16"/>
              </w:rPr>
            </w:pPr>
            <w:r w:rsidRPr="00334BF7">
              <w:rPr>
                <w:rFonts w:ascii="Verdana" w:hAnsi="Verdana" w:cs="Arial"/>
                <w:sz w:val="18"/>
                <w:szCs w:val="18"/>
              </w:rPr>
              <w:t>KOBYLNICA, UL. TYMIANKOWA</w:t>
            </w:r>
          </w:p>
        </w:tc>
      </w:tr>
      <w:tr w:rsidR="00EA1C22" w:rsidRPr="00334BF7" w:rsidTr="001F7FC1">
        <w:tc>
          <w:tcPr>
            <w:tcW w:w="2813" w:type="dxa"/>
            <w:shd w:val="clear" w:color="auto" w:fill="F3F3F3"/>
          </w:tcPr>
          <w:p w:rsidR="00EA1C22" w:rsidRPr="00334BF7" w:rsidRDefault="00EA1C22" w:rsidP="00D80E3E">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t xml:space="preserve">Data rozpoczęcia </w:t>
            </w:r>
          </w:p>
        </w:tc>
        <w:tc>
          <w:tcPr>
            <w:tcW w:w="6835" w:type="dxa"/>
          </w:tcPr>
          <w:p w:rsidR="00EA1C22" w:rsidRPr="00334BF7" w:rsidRDefault="00E20B04" w:rsidP="00D80E3E">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19.11.2020 R.</w:t>
            </w:r>
          </w:p>
        </w:tc>
      </w:tr>
      <w:tr w:rsidR="00EA1C22" w:rsidRPr="00334BF7" w:rsidTr="001F7FC1">
        <w:tc>
          <w:tcPr>
            <w:tcW w:w="2813" w:type="dxa"/>
            <w:shd w:val="clear" w:color="auto" w:fill="F3F3F3"/>
          </w:tcPr>
          <w:p w:rsidR="00EA1C22" w:rsidRPr="00334BF7" w:rsidRDefault="00EA1C22" w:rsidP="00D80E3E">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t>Data wydania decyzji o pozwoleniu na użytkowanie</w:t>
            </w:r>
          </w:p>
        </w:tc>
        <w:tc>
          <w:tcPr>
            <w:tcW w:w="6835" w:type="dxa"/>
          </w:tcPr>
          <w:p w:rsidR="00EA1C22" w:rsidRPr="00334BF7" w:rsidRDefault="00E20B04" w:rsidP="00D80E3E">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14.04.2023 R.</w:t>
            </w:r>
          </w:p>
        </w:tc>
      </w:tr>
    </w:tbl>
    <w:p w:rsidR="00EA1C22" w:rsidRPr="00334BF7" w:rsidRDefault="00EA1C22" w:rsidP="00D80E3E">
      <w:pPr>
        <w:spacing w:beforeLines="60" w:after="0" w:line="240" w:lineRule="auto"/>
        <w:rPr>
          <w:rFonts w:ascii="Verdana" w:eastAsia="Times New Roman" w:hAnsi="Verdana" w:cs="Times New Roman"/>
          <w:bCs/>
          <w:sz w:val="16"/>
          <w:szCs w:val="16"/>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7638"/>
      </w:tblGrid>
      <w:tr w:rsidR="00EA1C22" w:rsidRPr="00334BF7" w:rsidTr="001F7FC1">
        <w:tc>
          <w:tcPr>
            <w:tcW w:w="2808" w:type="dxa"/>
            <w:shd w:val="clear" w:color="auto" w:fill="F3F3F3"/>
          </w:tcPr>
          <w:p w:rsidR="00EA1C22" w:rsidRPr="00334BF7" w:rsidRDefault="00EA1C22" w:rsidP="00D80E3E">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t>Czy przeciwko deweloperowi prowadzono lub prowadzi się postępowania egzekucyjne na kwotę powyżej 100 000 zł</w:t>
            </w:r>
          </w:p>
        </w:tc>
        <w:tc>
          <w:tcPr>
            <w:tcW w:w="6840" w:type="dxa"/>
          </w:tcPr>
          <w:p w:rsidR="00EA1C22" w:rsidRPr="00334BF7" w:rsidRDefault="00E20B04" w:rsidP="00D80E3E">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NIE</w:t>
            </w:r>
          </w:p>
        </w:tc>
      </w:tr>
    </w:tbl>
    <w:p w:rsidR="00EA1C22" w:rsidRPr="00BC2537" w:rsidRDefault="00EA1C22" w:rsidP="00D2744C">
      <w:pPr>
        <w:widowControl w:val="0"/>
        <w:numPr>
          <w:ilvl w:val="0"/>
          <w:numId w:val="2"/>
        </w:numPr>
        <w:autoSpaceDE w:val="0"/>
        <w:autoSpaceDN w:val="0"/>
        <w:adjustRightInd w:val="0"/>
        <w:spacing w:before="120" w:after="120" w:line="240" w:lineRule="auto"/>
        <w:ind w:left="1077"/>
        <w:rPr>
          <w:rFonts w:ascii="Verdana" w:eastAsia="Times New Roman" w:hAnsi="Verdana" w:cs="Times New Roman"/>
          <w:b/>
          <w:bCs/>
          <w:sz w:val="16"/>
          <w:szCs w:val="16"/>
        </w:rPr>
      </w:pPr>
      <w:r w:rsidRPr="00BC2537">
        <w:rPr>
          <w:rFonts w:ascii="Verdana" w:eastAsia="Times New Roman" w:hAnsi="Verdana" w:cs="Times New Roman"/>
          <w:b/>
          <w:bCs/>
          <w:sz w:val="16"/>
          <w:szCs w:val="16"/>
        </w:rPr>
        <w:t>INFORMACJE DOTYCZĄCE NIERUCHOMOŚCI I PRZEDSIĘWZIĘCIA DEWELOPERSKIEGO</w:t>
      </w: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37"/>
        <w:gridCol w:w="3818"/>
        <w:gridCol w:w="3818"/>
      </w:tblGrid>
      <w:tr w:rsidR="00EA1C22" w:rsidRPr="00BC2537" w:rsidTr="001F7FC1">
        <w:trPr>
          <w:trHeight w:val="8"/>
        </w:trPr>
        <w:tc>
          <w:tcPr>
            <w:tcW w:w="10158" w:type="dxa"/>
            <w:gridSpan w:val="3"/>
            <w:tcBorders>
              <w:bottom w:val="single" w:sz="4" w:space="0" w:color="auto"/>
            </w:tcBorders>
            <w:shd w:val="clear" w:color="auto" w:fill="E0E0E0"/>
          </w:tcPr>
          <w:p w:rsidR="00EA1C22" w:rsidRPr="00BC2537" w:rsidRDefault="00EA1C22" w:rsidP="00D80E3E">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INFORMACJE DOTYCZĄCE GRUNTU I ZAGOSPODAROWANIA PRZESTRZENNEGO TERENU</w:t>
            </w:r>
          </w:p>
        </w:tc>
      </w:tr>
      <w:tr w:rsidR="00EA1C22" w:rsidRPr="00BC2537" w:rsidTr="001F7FC1">
        <w:trPr>
          <w:trHeight w:val="8"/>
        </w:trPr>
        <w:tc>
          <w:tcPr>
            <w:tcW w:w="2958" w:type="dxa"/>
            <w:shd w:val="clear" w:color="auto" w:fill="F3F3F3"/>
          </w:tcPr>
          <w:p w:rsidR="00EA1C22" w:rsidRPr="00521136" w:rsidRDefault="00203DE3" w:rsidP="00D80E3E">
            <w:pPr>
              <w:spacing w:beforeLines="60" w:afterLines="60" w:line="240" w:lineRule="auto"/>
              <w:rPr>
                <w:rFonts w:ascii="Verdana" w:eastAsia="Times New Roman" w:hAnsi="Verdana" w:cs="Times New Roman"/>
                <w:sz w:val="16"/>
                <w:szCs w:val="16"/>
              </w:rPr>
            </w:pPr>
            <w:r w:rsidRPr="00521136">
              <w:rPr>
                <w:rFonts w:ascii="Verdana" w:eastAsia="Times New Roman" w:hAnsi="Verdana" w:cs="Times New Roman"/>
                <w:sz w:val="16"/>
                <w:szCs w:val="16"/>
              </w:rPr>
              <w:t>Adres,</w:t>
            </w:r>
            <w:r w:rsidR="00EA1C22" w:rsidRPr="00521136">
              <w:rPr>
                <w:rFonts w:ascii="Verdana" w:eastAsia="Times New Roman" w:hAnsi="Verdana" w:cs="Times New Roman"/>
                <w:sz w:val="16"/>
                <w:szCs w:val="16"/>
              </w:rPr>
              <w:t xml:space="preserve"> numer działki ewidencyjnej i</w:t>
            </w:r>
            <w:r w:rsidR="00996257" w:rsidRPr="00521136">
              <w:rPr>
                <w:rFonts w:ascii="Verdana" w:eastAsia="Times New Roman" w:hAnsi="Verdana" w:cs="Times New Roman"/>
                <w:sz w:val="16"/>
                <w:szCs w:val="16"/>
              </w:rPr>
              <w:t xml:space="preserve"> numer</w:t>
            </w:r>
            <w:r w:rsidR="00EA1C22" w:rsidRPr="00521136">
              <w:rPr>
                <w:rFonts w:ascii="Verdana" w:eastAsia="Times New Roman" w:hAnsi="Verdana" w:cs="Times New Roman"/>
                <w:sz w:val="16"/>
                <w:szCs w:val="16"/>
              </w:rPr>
              <w:t xml:space="preserve"> obrębu</w:t>
            </w:r>
            <w:r w:rsidRPr="00521136">
              <w:rPr>
                <w:rFonts w:ascii="Verdana" w:eastAsia="Times New Roman" w:hAnsi="Verdana" w:cs="Times New Roman"/>
                <w:sz w:val="16"/>
                <w:szCs w:val="16"/>
              </w:rPr>
              <w:t xml:space="preserve"> ewidencyjnego</w:t>
            </w:r>
            <w:r w:rsidR="00EA1C22" w:rsidRPr="00521136">
              <w:rPr>
                <w:rFonts w:ascii="Verdana" w:eastAsia="Times New Roman" w:hAnsi="Verdana" w:cs="Times New Roman"/>
                <w:sz w:val="16"/>
                <w:szCs w:val="16"/>
                <w:vertAlign w:val="superscript"/>
              </w:rPr>
              <w:footnoteReference w:customMarkFollows="1" w:id="1"/>
              <w:t>1)</w:t>
            </w:r>
          </w:p>
        </w:tc>
        <w:tc>
          <w:tcPr>
            <w:tcW w:w="7200" w:type="dxa"/>
            <w:gridSpan w:val="2"/>
          </w:tcPr>
          <w:p w:rsidR="00CD5CCC" w:rsidRPr="00640106" w:rsidRDefault="00D21EAC" w:rsidP="00D80E3E">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SŁUPSK, UL. FIŃSKA, DZIAŁKA NR 35, OBRĘB 4</w:t>
            </w:r>
          </w:p>
        </w:tc>
      </w:tr>
      <w:tr w:rsidR="00EA1C22" w:rsidRPr="00BC2537" w:rsidTr="001F7FC1">
        <w:trPr>
          <w:trHeight w:val="6"/>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Numer księgi wieczystej </w:t>
            </w:r>
          </w:p>
        </w:tc>
        <w:tc>
          <w:tcPr>
            <w:tcW w:w="7200" w:type="dxa"/>
            <w:gridSpan w:val="2"/>
            <w:shd w:val="clear" w:color="auto" w:fill="auto"/>
          </w:tcPr>
          <w:p w:rsidR="00CD5CCC" w:rsidRPr="00640106" w:rsidRDefault="00C42E92" w:rsidP="00D80E3E">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SL1S/00101762/6</w:t>
            </w:r>
          </w:p>
        </w:tc>
      </w:tr>
      <w:tr w:rsidR="00EA1C22" w:rsidRPr="00BC2537" w:rsidTr="001F7FC1">
        <w:trPr>
          <w:trHeight w:val="6"/>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Istniejące obciążenia hipoteczne nieruchomości lub wnioski o wpis w dziale czwartym księgi wieczystej</w:t>
            </w:r>
          </w:p>
        </w:tc>
        <w:tc>
          <w:tcPr>
            <w:tcW w:w="7200" w:type="dxa"/>
            <w:gridSpan w:val="2"/>
            <w:shd w:val="clear" w:color="auto" w:fill="auto"/>
          </w:tcPr>
          <w:p w:rsidR="00EA1C22" w:rsidRPr="00640106" w:rsidRDefault="007205B5" w:rsidP="00D80E3E">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BRAK</w:t>
            </w:r>
          </w:p>
        </w:tc>
      </w:tr>
      <w:tr w:rsidR="00EA1C22" w:rsidRPr="00BC2537" w:rsidTr="001F7FC1">
        <w:trPr>
          <w:trHeight w:val="6"/>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W przypadku braku księgi wieczystej informacja o powierzchni działki i stanie prawnym nieruchomości</w:t>
            </w:r>
            <w:r w:rsidRPr="00BC2537">
              <w:rPr>
                <w:rFonts w:ascii="Verdana" w:eastAsia="Times New Roman" w:hAnsi="Verdana" w:cs="Times New Roman"/>
                <w:sz w:val="16"/>
                <w:szCs w:val="16"/>
                <w:vertAlign w:val="superscript"/>
              </w:rPr>
              <w:footnoteReference w:customMarkFollows="1" w:id="2"/>
              <w:t>2)</w:t>
            </w:r>
            <w:r w:rsidRPr="00BC2537">
              <w:rPr>
                <w:rFonts w:ascii="Verdana" w:eastAsia="Times New Roman" w:hAnsi="Verdana" w:cs="Times New Roman"/>
                <w:sz w:val="16"/>
                <w:szCs w:val="16"/>
              </w:rPr>
              <w:t xml:space="preserve"> </w:t>
            </w:r>
          </w:p>
        </w:tc>
        <w:tc>
          <w:tcPr>
            <w:tcW w:w="7200" w:type="dxa"/>
            <w:gridSpan w:val="2"/>
            <w:shd w:val="clear" w:color="auto" w:fill="auto"/>
          </w:tcPr>
          <w:p w:rsidR="00EA1C22" w:rsidRPr="00640106" w:rsidRDefault="007205B5" w:rsidP="00D80E3E">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NIE DOTYCZY</w:t>
            </w:r>
          </w:p>
        </w:tc>
      </w:tr>
      <w:tr w:rsidR="00EA1C22" w:rsidRPr="00BC2537" w:rsidTr="001F7FC1">
        <w:trPr>
          <w:trHeight w:val="6"/>
        </w:trPr>
        <w:tc>
          <w:tcPr>
            <w:tcW w:w="2958" w:type="dxa"/>
            <w:shd w:val="clear" w:color="auto" w:fill="F3F3F3"/>
          </w:tcPr>
          <w:p w:rsidR="00EA1C22" w:rsidRPr="00521136" w:rsidRDefault="00EA1C22" w:rsidP="00D80E3E">
            <w:pPr>
              <w:spacing w:beforeLines="60" w:afterLines="60" w:line="240" w:lineRule="auto"/>
              <w:rPr>
                <w:rFonts w:ascii="Verdana" w:eastAsia="Times New Roman" w:hAnsi="Verdana" w:cs="Times New Roman"/>
                <w:sz w:val="16"/>
                <w:szCs w:val="16"/>
              </w:rPr>
            </w:pPr>
            <w:r w:rsidRPr="00521136">
              <w:rPr>
                <w:rFonts w:ascii="Verdana" w:eastAsia="Times New Roman" w:hAnsi="Verdana" w:cs="Times New Roman"/>
                <w:sz w:val="16"/>
                <w:szCs w:val="16"/>
              </w:rPr>
              <w:t>Informacje dotyczące obiektów istniejących położonych w sąsiedztwie inwestycji i wpływających na warunki życia</w:t>
            </w:r>
            <w:r w:rsidRPr="00521136">
              <w:rPr>
                <w:rFonts w:ascii="Verdana" w:eastAsia="Times New Roman" w:hAnsi="Verdana" w:cs="Times New Roman"/>
                <w:sz w:val="16"/>
                <w:szCs w:val="16"/>
                <w:vertAlign w:val="superscript"/>
              </w:rPr>
              <w:footnoteReference w:customMarkFollows="1" w:id="3"/>
              <w:t>3)</w:t>
            </w:r>
            <w:r w:rsidRPr="00521136">
              <w:rPr>
                <w:rFonts w:ascii="Verdana" w:eastAsia="Times New Roman" w:hAnsi="Verdana" w:cs="Times New Roman"/>
                <w:sz w:val="16"/>
                <w:szCs w:val="16"/>
              </w:rPr>
              <w:t xml:space="preserve"> </w:t>
            </w:r>
          </w:p>
        </w:tc>
        <w:tc>
          <w:tcPr>
            <w:tcW w:w="7200" w:type="dxa"/>
            <w:gridSpan w:val="2"/>
            <w:shd w:val="clear" w:color="auto" w:fill="auto"/>
          </w:tcPr>
          <w:p w:rsidR="00A15F7D" w:rsidRPr="00521136" w:rsidRDefault="00A15F7D" w:rsidP="00D80E3E">
            <w:pPr>
              <w:spacing w:beforeLines="60" w:afterLines="60" w:line="240" w:lineRule="auto"/>
              <w:rPr>
                <w:rFonts w:ascii="Verdana" w:eastAsia="Times New Roman" w:hAnsi="Verdana" w:cs="Times New Roman"/>
                <w:sz w:val="16"/>
                <w:szCs w:val="16"/>
              </w:rPr>
            </w:pPr>
            <w:r w:rsidRPr="00521136">
              <w:rPr>
                <w:rFonts w:ascii="Verdana" w:eastAsia="Times New Roman" w:hAnsi="Verdana" w:cs="Times New Roman"/>
                <w:sz w:val="16"/>
                <w:szCs w:val="16"/>
              </w:rPr>
              <w:t>BRAK</w:t>
            </w:r>
          </w:p>
          <w:p w:rsidR="00CD5CCC" w:rsidRPr="00521136" w:rsidRDefault="00203DE3" w:rsidP="00203DE3">
            <w:pPr>
              <w:autoSpaceDE w:val="0"/>
              <w:autoSpaceDN w:val="0"/>
              <w:adjustRightInd w:val="0"/>
              <w:spacing w:after="0" w:line="240" w:lineRule="auto"/>
              <w:rPr>
                <w:rFonts w:ascii="Verdana" w:eastAsia="Times New Roman" w:hAnsi="Verdana" w:cs="Times New Roman"/>
                <w:sz w:val="16"/>
                <w:szCs w:val="16"/>
              </w:rPr>
            </w:pPr>
            <w:r w:rsidRPr="00521136">
              <w:rPr>
                <w:rFonts w:ascii="Verdana" w:eastAsia="TimesNewRoman" w:hAnsi="Verdana" w:cs="TimesNewRoman"/>
                <w:sz w:val="16"/>
                <w:szCs w:val="16"/>
              </w:rPr>
              <w:t>Uwarunkowania lokalizacji inwestycji wynikające z istniejącego stanu użytkowania terenów sąsiednich (np. z funkcji terenu, stref ochronnych, uciążliwości)</w:t>
            </w:r>
          </w:p>
        </w:tc>
      </w:tr>
      <w:tr w:rsidR="00EA1C22" w:rsidRPr="00BC2537" w:rsidTr="001F7FC1">
        <w:trPr>
          <w:trHeight w:val="18"/>
        </w:trPr>
        <w:tc>
          <w:tcPr>
            <w:tcW w:w="2958" w:type="dxa"/>
            <w:vMerge w:val="restart"/>
            <w:shd w:val="clear" w:color="auto" w:fill="F3F3F3"/>
          </w:tcPr>
          <w:p w:rsidR="00203DE3" w:rsidRPr="00521136" w:rsidRDefault="00203DE3" w:rsidP="001C3E88">
            <w:pPr>
              <w:autoSpaceDE w:val="0"/>
              <w:autoSpaceDN w:val="0"/>
              <w:adjustRightInd w:val="0"/>
              <w:spacing w:before="120" w:after="0" w:line="240" w:lineRule="auto"/>
              <w:rPr>
                <w:rFonts w:ascii="Verdana" w:eastAsia="TimesNewRoman" w:hAnsi="Verdana" w:cs="TimesNewRoman"/>
                <w:sz w:val="16"/>
                <w:szCs w:val="16"/>
              </w:rPr>
            </w:pPr>
            <w:r w:rsidRPr="00521136">
              <w:rPr>
                <w:rFonts w:ascii="Verdana" w:eastAsia="TimesNewRoman" w:hAnsi="Verdana" w:cs="TimesNewRoman"/>
                <w:sz w:val="16"/>
                <w:szCs w:val="16"/>
              </w:rPr>
              <w:t>Akty planowania przestrzennego</w:t>
            </w:r>
          </w:p>
          <w:p w:rsidR="00203DE3" w:rsidRPr="00521136" w:rsidRDefault="00203DE3" w:rsidP="00203DE3">
            <w:pPr>
              <w:autoSpaceDE w:val="0"/>
              <w:autoSpaceDN w:val="0"/>
              <w:adjustRightInd w:val="0"/>
              <w:spacing w:after="0" w:line="240" w:lineRule="auto"/>
              <w:rPr>
                <w:rFonts w:ascii="Verdana" w:eastAsia="TimesNewRoman" w:hAnsi="Verdana" w:cs="TimesNewRoman"/>
                <w:sz w:val="16"/>
                <w:szCs w:val="16"/>
              </w:rPr>
            </w:pPr>
            <w:r w:rsidRPr="00521136">
              <w:rPr>
                <w:rFonts w:ascii="Verdana" w:eastAsia="TimesNewRoman" w:hAnsi="Verdana" w:cs="TimesNewRoman"/>
                <w:sz w:val="16"/>
                <w:szCs w:val="16"/>
              </w:rPr>
              <w:t>i inne akty prawne na terenie</w:t>
            </w:r>
          </w:p>
          <w:p w:rsidR="00203DE3" w:rsidRPr="00521136" w:rsidRDefault="00203DE3" w:rsidP="00203DE3">
            <w:pPr>
              <w:autoSpaceDE w:val="0"/>
              <w:autoSpaceDN w:val="0"/>
              <w:adjustRightInd w:val="0"/>
              <w:spacing w:after="0" w:line="240" w:lineRule="auto"/>
              <w:rPr>
                <w:rFonts w:ascii="Verdana" w:eastAsia="TimesNewRoman" w:hAnsi="Verdana" w:cs="TimesNewRoman"/>
                <w:sz w:val="16"/>
                <w:szCs w:val="16"/>
              </w:rPr>
            </w:pPr>
            <w:r w:rsidRPr="00521136">
              <w:rPr>
                <w:rFonts w:ascii="Verdana" w:eastAsia="TimesNewRoman" w:hAnsi="Verdana" w:cs="TimesNewRoman"/>
                <w:sz w:val="16"/>
                <w:szCs w:val="16"/>
              </w:rPr>
              <w:t>objętym przedsięwzięciem</w:t>
            </w:r>
          </w:p>
          <w:p w:rsidR="00EA1C22" w:rsidRPr="00521136" w:rsidRDefault="00203DE3" w:rsidP="00996257">
            <w:pPr>
              <w:autoSpaceDE w:val="0"/>
              <w:autoSpaceDN w:val="0"/>
              <w:adjustRightInd w:val="0"/>
              <w:spacing w:after="0" w:line="240" w:lineRule="auto"/>
              <w:rPr>
                <w:rFonts w:ascii="Verdana" w:eastAsia="Times New Roman" w:hAnsi="Verdana" w:cs="Times New Roman"/>
                <w:sz w:val="16"/>
                <w:szCs w:val="16"/>
              </w:rPr>
            </w:pPr>
            <w:r w:rsidRPr="00521136">
              <w:rPr>
                <w:rFonts w:ascii="Verdana" w:eastAsia="TimesNewRoman" w:hAnsi="Verdana" w:cs="TimesNewRoman"/>
                <w:sz w:val="16"/>
                <w:szCs w:val="16"/>
              </w:rPr>
              <w:t>deweloperskim lub zadaniem</w:t>
            </w:r>
            <w:r w:rsidR="00996257" w:rsidRPr="00521136">
              <w:rPr>
                <w:rFonts w:ascii="Verdana" w:eastAsia="TimesNewRoman" w:hAnsi="Verdana" w:cs="TimesNewRoman"/>
                <w:sz w:val="16"/>
                <w:szCs w:val="16"/>
              </w:rPr>
              <w:t xml:space="preserve"> </w:t>
            </w:r>
            <w:r w:rsidRPr="00521136">
              <w:rPr>
                <w:rFonts w:ascii="Verdana" w:eastAsia="TimesNewRoman" w:hAnsi="Verdana" w:cs="TimesNewRoman"/>
                <w:sz w:val="16"/>
                <w:szCs w:val="16"/>
              </w:rPr>
              <w:t>inwestycyjnym</w:t>
            </w:r>
            <w:r w:rsidR="00EA1C22" w:rsidRPr="00521136">
              <w:rPr>
                <w:rFonts w:ascii="Verdana" w:eastAsia="Times New Roman" w:hAnsi="Verdana" w:cs="Times New Roman"/>
                <w:sz w:val="16"/>
                <w:szCs w:val="16"/>
                <w:lang w:eastAsia="pl-PL"/>
              </w:rPr>
              <w:t xml:space="preserve"> </w:t>
            </w:r>
          </w:p>
        </w:tc>
        <w:tc>
          <w:tcPr>
            <w:tcW w:w="3600" w:type="dxa"/>
            <w:shd w:val="clear" w:color="auto" w:fill="auto"/>
          </w:tcPr>
          <w:p w:rsidR="00CD5CCC" w:rsidRPr="00521136" w:rsidRDefault="00203DE3" w:rsidP="00D80E3E">
            <w:pPr>
              <w:spacing w:beforeLines="60" w:afterLines="60" w:line="240" w:lineRule="auto"/>
              <w:rPr>
                <w:rFonts w:ascii="Verdana" w:eastAsia="Times New Roman" w:hAnsi="Verdana" w:cs="Times New Roman"/>
                <w:sz w:val="16"/>
                <w:szCs w:val="16"/>
                <w:lang w:eastAsia="pl-PL"/>
              </w:rPr>
            </w:pPr>
            <w:r w:rsidRPr="00521136">
              <w:rPr>
                <w:rFonts w:ascii="Verdana" w:eastAsia="TimesNewRoman" w:hAnsi="Verdana" w:cs="TimesNewRoman"/>
                <w:sz w:val="16"/>
                <w:szCs w:val="16"/>
              </w:rPr>
              <w:t>Plan ogólny gminy</w:t>
            </w:r>
          </w:p>
        </w:tc>
        <w:tc>
          <w:tcPr>
            <w:tcW w:w="3600" w:type="dxa"/>
            <w:vMerge w:val="restart"/>
            <w:shd w:val="clear" w:color="auto" w:fill="auto"/>
          </w:tcPr>
          <w:p w:rsidR="00CD5CCC" w:rsidRPr="00640106" w:rsidRDefault="004743E5" w:rsidP="00D80E3E">
            <w:pPr>
              <w:spacing w:beforeLines="60" w:afterLines="60" w:line="240" w:lineRule="auto"/>
              <w:rPr>
                <w:rFonts w:ascii="Verdana" w:hAnsi="Verdana"/>
                <w:sz w:val="16"/>
                <w:szCs w:val="16"/>
              </w:rPr>
            </w:pPr>
            <w:r w:rsidRPr="00640106">
              <w:rPr>
                <w:rFonts w:ascii="Verdana" w:hAnsi="Verdana"/>
                <w:sz w:val="16"/>
                <w:szCs w:val="16"/>
              </w:rPr>
              <w:t>Uchwała Nr LIII/738/18 Rady Miejskiej w Słupsku z dnia 27 czerwca 2018 r. w sprawie uchwalenia miejscowego planu zagospodarowania przestrzennego „Owocowa B” w Słupsk</w:t>
            </w:r>
          </w:p>
          <w:p w:rsidR="004743E5" w:rsidRPr="00653B69" w:rsidRDefault="004743E5" w:rsidP="00653B69">
            <w:pPr>
              <w:shd w:val="clear" w:color="auto" w:fill="FFFFFF"/>
              <w:spacing w:before="50" w:after="0" w:line="240" w:lineRule="auto"/>
              <w:ind w:right="250"/>
              <w:outlineLvl w:val="0"/>
              <w:rPr>
                <w:rFonts w:ascii="Verdana" w:eastAsia="Times New Roman" w:hAnsi="Verdana" w:cs="Arial"/>
                <w:color w:val="000000"/>
                <w:spacing w:val="3"/>
                <w:kern w:val="36"/>
                <w:sz w:val="16"/>
                <w:szCs w:val="16"/>
                <w:lang w:eastAsia="pl-PL"/>
              </w:rPr>
            </w:pPr>
            <w:r w:rsidRPr="00640106">
              <w:rPr>
                <w:rFonts w:ascii="Verdana" w:eastAsia="Times New Roman" w:hAnsi="Verdana" w:cs="Arial"/>
                <w:color w:val="000000"/>
                <w:spacing w:val="3"/>
                <w:kern w:val="36"/>
                <w:sz w:val="16"/>
                <w:szCs w:val="16"/>
                <w:lang w:eastAsia="pl-PL"/>
              </w:rPr>
              <w:t>DZ. URZ. WOJ. 2018.3058</w:t>
            </w:r>
            <w:r w:rsidRPr="00640106">
              <w:rPr>
                <w:rFonts w:ascii="Verdana" w:eastAsia="Times New Roman" w:hAnsi="Verdana" w:cs="Arial"/>
                <w:color w:val="000000"/>
                <w:spacing w:val="3"/>
                <w:kern w:val="36"/>
                <w:sz w:val="16"/>
                <w:szCs w:val="16"/>
                <w:lang w:eastAsia="pl-PL"/>
              </w:rPr>
              <w:br/>
              <w:t>Ogłoszony: 27.07.2018</w:t>
            </w:r>
          </w:p>
        </w:tc>
      </w:tr>
      <w:tr w:rsidR="00EA1C22" w:rsidRPr="00BC2537" w:rsidTr="001F7FC1">
        <w:trPr>
          <w:trHeight w:val="17"/>
        </w:trPr>
        <w:tc>
          <w:tcPr>
            <w:tcW w:w="2958" w:type="dxa"/>
            <w:vMerge/>
            <w:shd w:val="clear" w:color="auto" w:fill="F3F3F3"/>
          </w:tcPr>
          <w:p w:rsidR="00EA1C22" w:rsidRPr="00521136" w:rsidRDefault="00EA1C22" w:rsidP="00D80E3E">
            <w:pPr>
              <w:spacing w:beforeLines="60" w:afterLines="60" w:line="240" w:lineRule="auto"/>
              <w:rPr>
                <w:rFonts w:ascii="Verdana" w:eastAsia="Times New Roman" w:hAnsi="Verdana" w:cs="Times New Roman"/>
                <w:sz w:val="16"/>
                <w:szCs w:val="16"/>
                <w:lang w:eastAsia="pl-PL"/>
              </w:rPr>
            </w:pPr>
          </w:p>
        </w:tc>
        <w:tc>
          <w:tcPr>
            <w:tcW w:w="3600" w:type="dxa"/>
            <w:shd w:val="clear" w:color="auto" w:fill="auto"/>
          </w:tcPr>
          <w:p w:rsidR="00203DE3" w:rsidRPr="00521136" w:rsidRDefault="00203DE3" w:rsidP="00653B69">
            <w:pPr>
              <w:autoSpaceDE w:val="0"/>
              <w:autoSpaceDN w:val="0"/>
              <w:adjustRightInd w:val="0"/>
              <w:spacing w:before="120" w:after="0" w:line="240" w:lineRule="auto"/>
              <w:rPr>
                <w:rFonts w:ascii="Verdana" w:eastAsia="TimesNewRoman" w:hAnsi="Verdana" w:cs="TimesNewRoman"/>
                <w:sz w:val="16"/>
                <w:szCs w:val="16"/>
              </w:rPr>
            </w:pPr>
            <w:r w:rsidRPr="00521136">
              <w:rPr>
                <w:rFonts w:ascii="Verdana" w:eastAsia="TimesNewRoman" w:hAnsi="Verdana" w:cs="TimesNewRoman"/>
                <w:sz w:val="16"/>
                <w:szCs w:val="16"/>
              </w:rPr>
              <w:t>Miejscowy plan zagospodarowania</w:t>
            </w:r>
          </w:p>
          <w:p w:rsidR="00CD5CCC" w:rsidRPr="00521136" w:rsidRDefault="00203DE3" w:rsidP="00D80E3E">
            <w:pPr>
              <w:spacing w:beforeLines="60" w:afterLines="60" w:line="240" w:lineRule="auto"/>
              <w:rPr>
                <w:rFonts w:ascii="Verdana" w:eastAsia="Times New Roman" w:hAnsi="Verdana" w:cs="Times New Roman"/>
                <w:sz w:val="16"/>
                <w:szCs w:val="16"/>
                <w:lang w:eastAsia="pl-PL"/>
              </w:rPr>
            </w:pPr>
            <w:r w:rsidRPr="00521136">
              <w:rPr>
                <w:rFonts w:ascii="Verdana" w:eastAsia="TimesNewRoman" w:hAnsi="Verdana" w:cs="TimesNewRoman"/>
                <w:sz w:val="16"/>
                <w:szCs w:val="16"/>
              </w:rPr>
              <w:t>przestrzennego</w:t>
            </w:r>
          </w:p>
        </w:tc>
        <w:tc>
          <w:tcPr>
            <w:tcW w:w="3600" w:type="dxa"/>
            <w:vMerge/>
            <w:shd w:val="clear" w:color="auto" w:fill="auto"/>
          </w:tcPr>
          <w:p w:rsidR="00EA1C22" w:rsidRPr="00640106" w:rsidRDefault="00EA1C22" w:rsidP="00D80E3E">
            <w:pPr>
              <w:spacing w:beforeLines="60" w:afterLines="60" w:line="240" w:lineRule="auto"/>
              <w:rPr>
                <w:rFonts w:ascii="Verdana" w:eastAsia="Times New Roman" w:hAnsi="Verdana" w:cs="Times New Roman"/>
                <w:sz w:val="16"/>
                <w:szCs w:val="16"/>
              </w:rPr>
            </w:pPr>
          </w:p>
        </w:tc>
      </w:tr>
      <w:tr w:rsidR="00EA1C22" w:rsidRPr="00BC2537" w:rsidTr="001F7FC1">
        <w:trPr>
          <w:trHeight w:val="17"/>
        </w:trPr>
        <w:tc>
          <w:tcPr>
            <w:tcW w:w="2958" w:type="dxa"/>
            <w:vMerge/>
            <w:shd w:val="clear" w:color="auto" w:fill="F3F3F3"/>
          </w:tcPr>
          <w:p w:rsidR="00EA1C22" w:rsidRPr="00521136" w:rsidRDefault="00EA1C22" w:rsidP="00D80E3E">
            <w:pPr>
              <w:spacing w:beforeLines="60" w:afterLines="60" w:line="240" w:lineRule="auto"/>
              <w:rPr>
                <w:rFonts w:ascii="Verdana" w:eastAsia="Times New Roman" w:hAnsi="Verdana" w:cs="Times New Roman"/>
                <w:sz w:val="16"/>
                <w:szCs w:val="16"/>
                <w:lang w:eastAsia="pl-PL"/>
              </w:rPr>
            </w:pPr>
          </w:p>
        </w:tc>
        <w:tc>
          <w:tcPr>
            <w:tcW w:w="3600" w:type="dxa"/>
            <w:shd w:val="clear" w:color="auto" w:fill="auto"/>
          </w:tcPr>
          <w:p w:rsidR="00EA1C22" w:rsidRPr="00406E45" w:rsidRDefault="00203DE3" w:rsidP="00D80E3E">
            <w:pPr>
              <w:spacing w:beforeLines="60" w:afterLines="60" w:line="240" w:lineRule="auto"/>
              <w:rPr>
                <w:rFonts w:ascii="Verdana" w:eastAsia="Times New Roman" w:hAnsi="Verdana" w:cs="Times New Roman"/>
                <w:sz w:val="16"/>
                <w:szCs w:val="16"/>
              </w:rPr>
            </w:pPr>
            <w:r w:rsidRPr="00406E45">
              <w:rPr>
                <w:rFonts w:ascii="Verdana" w:eastAsia="TimesNewRoman" w:hAnsi="Verdana" w:cs="TimesNewRoman"/>
                <w:sz w:val="16"/>
                <w:szCs w:val="16"/>
              </w:rPr>
              <w:t>Miejscowy plan odbudowy</w:t>
            </w:r>
          </w:p>
        </w:tc>
        <w:tc>
          <w:tcPr>
            <w:tcW w:w="3600" w:type="dxa"/>
            <w:vMerge/>
            <w:shd w:val="clear" w:color="auto" w:fill="auto"/>
          </w:tcPr>
          <w:p w:rsidR="00EA1C22" w:rsidRPr="00406E45" w:rsidRDefault="00EA1C22" w:rsidP="00D80E3E">
            <w:pPr>
              <w:spacing w:beforeLines="60" w:afterLines="60" w:line="240" w:lineRule="auto"/>
              <w:rPr>
                <w:rFonts w:ascii="Verdana" w:eastAsia="Times New Roman" w:hAnsi="Verdana" w:cs="Times New Roman"/>
                <w:sz w:val="16"/>
                <w:szCs w:val="16"/>
              </w:rPr>
            </w:pPr>
          </w:p>
        </w:tc>
      </w:tr>
      <w:tr w:rsidR="00EA1C22" w:rsidRPr="00BC2537" w:rsidTr="001F7FC1">
        <w:trPr>
          <w:trHeight w:val="17"/>
        </w:trPr>
        <w:tc>
          <w:tcPr>
            <w:tcW w:w="2958" w:type="dxa"/>
            <w:vMerge/>
            <w:shd w:val="clear" w:color="auto" w:fill="F3F3F3"/>
          </w:tcPr>
          <w:p w:rsidR="00EA1C22" w:rsidRPr="00521136" w:rsidRDefault="00EA1C22" w:rsidP="00D80E3E">
            <w:pPr>
              <w:spacing w:beforeLines="60" w:afterLines="60" w:line="240" w:lineRule="auto"/>
              <w:rPr>
                <w:rFonts w:ascii="Verdana" w:eastAsia="Times New Roman" w:hAnsi="Verdana" w:cs="Times New Roman"/>
                <w:sz w:val="16"/>
                <w:szCs w:val="16"/>
                <w:lang w:eastAsia="pl-PL"/>
              </w:rPr>
            </w:pPr>
          </w:p>
        </w:tc>
        <w:tc>
          <w:tcPr>
            <w:tcW w:w="3600" w:type="dxa"/>
            <w:shd w:val="clear" w:color="auto" w:fill="auto"/>
          </w:tcPr>
          <w:p w:rsidR="00CD5CCC" w:rsidRPr="00406E45" w:rsidRDefault="00203DE3" w:rsidP="00D80E3E">
            <w:pPr>
              <w:spacing w:beforeLines="60" w:afterLines="60" w:line="240" w:lineRule="auto"/>
              <w:rPr>
                <w:rFonts w:ascii="Verdana" w:eastAsia="Times New Roman" w:hAnsi="Verdana" w:cs="Times New Roman"/>
                <w:sz w:val="16"/>
                <w:szCs w:val="16"/>
                <w:lang w:eastAsia="pl-PL"/>
              </w:rPr>
            </w:pPr>
            <w:r w:rsidRPr="00406E45">
              <w:rPr>
                <w:rFonts w:ascii="Verdana" w:eastAsia="Times New Roman" w:hAnsi="Verdana" w:cs="Times New Roman"/>
                <w:sz w:val="16"/>
                <w:szCs w:val="16"/>
                <w:lang w:eastAsia="pl-PL"/>
              </w:rPr>
              <w:t>Inne</w:t>
            </w:r>
            <w:r w:rsidRPr="00406E45">
              <w:rPr>
                <w:rFonts w:ascii="Verdana" w:eastAsia="Times New Roman" w:hAnsi="Verdana" w:cs="Times New Roman"/>
                <w:sz w:val="16"/>
                <w:szCs w:val="16"/>
                <w:vertAlign w:val="superscript"/>
                <w:lang w:eastAsia="pl-PL"/>
              </w:rPr>
              <w:footnoteReference w:customMarkFollows="1" w:id="4"/>
              <w:t>4)</w:t>
            </w:r>
          </w:p>
        </w:tc>
        <w:tc>
          <w:tcPr>
            <w:tcW w:w="3600" w:type="dxa"/>
            <w:vMerge/>
            <w:shd w:val="clear" w:color="auto" w:fill="auto"/>
          </w:tcPr>
          <w:p w:rsidR="00EA1C22" w:rsidRPr="00406E45" w:rsidRDefault="00EA1C22" w:rsidP="00D80E3E">
            <w:pPr>
              <w:spacing w:beforeLines="60" w:afterLines="60" w:line="240" w:lineRule="auto"/>
              <w:rPr>
                <w:rFonts w:ascii="Verdana" w:eastAsia="Times New Roman" w:hAnsi="Verdana" w:cs="Times New Roman"/>
                <w:sz w:val="16"/>
                <w:szCs w:val="16"/>
              </w:rPr>
            </w:pPr>
          </w:p>
        </w:tc>
      </w:tr>
      <w:tr w:rsidR="00EA1C22" w:rsidRPr="00BC2537" w:rsidTr="001F7FC1">
        <w:trPr>
          <w:trHeight w:val="3"/>
        </w:trPr>
        <w:tc>
          <w:tcPr>
            <w:tcW w:w="2958" w:type="dxa"/>
            <w:vMerge w:val="restart"/>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Ustalenia obowiązującego miejscowego planu zagospodarowania przestrzennego dla terenu objętego przedsięwzięciem deweloperskim lub zadaniem inwestycyjnym</w:t>
            </w:r>
            <w:r w:rsidRPr="00BC2537">
              <w:rPr>
                <w:rFonts w:ascii="Verdana" w:eastAsia="Times New Roman" w:hAnsi="Verdana" w:cs="Times New Roman"/>
                <w:sz w:val="16"/>
                <w:szCs w:val="16"/>
              </w:rPr>
              <w:t xml:space="preserve"> </w:t>
            </w:r>
          </w:p>
        </w:tc>
        <w:tc>
          <w:tcPr>
            <w:tcW w:w="3600" w:type="dxa"/>
            <w:shd w:val="clear" w:color="auto" w:fill="auto"/>
          </w:tcPr>
          <w:p w:rsidR="00EA1C22" w:rsidRPr="00406E45" w:rsidRDefault="00EA1C22" w:rsidP="00D80E3E">
            <w:pPr>
              <w:spacing w:beforeLines="60" w:afterLines="60" w:line="240" w:lineRule="auto"/>
              <w:rPr>
                <w:rFonts w:ascii="Verdana" w:eastAsia="Times New Roman" w:hAnsi="Verdana" w:cs="Times New Roman"/>
                <w:sz w:val="16"/>
                <w:szCs w:val="16"/>
              </w:rPr>
            </w:pPr>
            <w:r w:rsidRPr="00406E45">
              <w:rPr>
                <w:rFonts w:ascii="Verdana" w:eastAsia="Times New Roman" w:hAnsi="Verdana" w:cs="Times New Roman"/>
                <w:sz w:val="16"/>
                <w:szCs w:val="16"/>
                <w:lang w:eastAsia="pl-PL"/>
              </w:rPr>
              <w:t>Przeznaczenie terenu</w:t>
            </w:r>
          </w:p>
        </w:tc>
        <w:tc>
          <w:tcPr>
            <w:tcW w:w="3600" w:type="dxa"/>
            <w:shd w:val="clear" w:color="auto" w:fill="auto"/>
          </w:tcPr>
          <w:p w:rsidR="002B659B" w:rsidRPr="00406E45" w:rsidRDefault="00D577FE" w:rsidP="00334BF7">
            <w:pPr>
              <w:autoSpaceDE w:val="0"/>
              <w:autoSpaceDN w:val="0"/>
              <w:adjustRightInd w:val="0"/>
              <w:spacing w:before="120" w:after="120" w:line="240" w:lineRule="auto"/>
              <w:rPr>
                <w:rFonts w:ascii="Verdana" w:hAnsi="Verdana" w:cs="TimesNewRomanPS-BoldMT"/>
                <w:bCs/>
                <w:sz w:val="16"/>
                <w:szCs w:val="16"/>
              </w:rPr>
            </w:pPr>
            <w:r w:rsidRPr="00406E45">
              <w:rPr>
                <w:rFonts w:ascii="Verdana" w:hAnsi="Verdana" w:cs="TimesNewRomanPS-BoldMT"/>
                <w:bCs/>
                <w:sz w:val="16"/>
                <w:szCs w:val="16"/>
              </w:rPr>
              <w:t>4.</w:t>
            </w:r>
            <w:r w:rsidR="000E683C" w:rsidRPr="00406E45">
              <w:rPr>
                <w:rFonts w:ascii="Verdana" w:hAnsi="Verdana" w:cs="TimesNewRomanPS-BoldMT"/>
                <w:bCs/>
                <w:sz w:val="16"/>
                <w:szCs w:val="16"/>
              </w:rPr>
              <w:t>12</w:t>
            </w:r>
            <w:r w:rsidR="0026377A" w:rsidRPr="00406E45">
              <w:rPr>
                <w:rFonts w:ascii="Verdana" w:hAnsi="Verdana" w:cs="TimesNewRomanPS-BoldMT"/>
                <w:bCs/>
                <w:sz w:val="16"/>
                <w:szCs w:val="16"/>
              </w:rPr>
              <w:t>.MWn</w:t>
            </w:r>
            <w:r w:rsidR="0026377A" w:rsidRPr="00406E45">
              <w:rPr>
                <w:rFonts w:ascii="TimesNewRomanPS-BoldMT" w:hAnsi="TimesNewRomanPS-BoldMT" w:cs="TimesNewRomanPS-BoldMT"/>
                <w:bCs/>
                <w:sz w:val="16"/>
                <w:szCs w:val="16"/>
              </w:rPr>
              <w:t xml:space="preserve"> </w:t>
            </w:r>
            <w:r w:rsidR="002A348D" w:rsidRPr="00406E45">
              <w:rPr>
                <w:rFonts w:ascii="Verdana" w:hAnsi="Verdana" w:cs="TimesNewRomanPS-BoldMT"/>
                <w:bCs/>
                <w:sz w:val="16"/>
                <w:szCs w:val="16"/>
              </w:rPr>
              <w:t>tereny zabudowy mieszkaniowej wielorodzinnej o niskiej intensywności</w:t>
            </w:r>
            <w:r w:rsidR="002B659B" w:rsidRPr="00406E45">
              <w:rPr>
                <w:rFonts w:ascii="Verdana" w:hAnsi="Verdana" w:cs="TimesNewRomanPS-BoldMT"/>
                <w:bCs/>
                <w:sz w:val="16"/>
                <w:szCs w:val="16"/>
              </w:rPr>
              <w:t xml:space="preserve"> </w:t>
            </w:r>
          </w:p>
          <w:p w:rsidR="0026377A" w:rsidRPr="00406E45" w:rsidRDefault="0026377A" w:rsidP="00334BF7">
            <w:pPr>
              <w:autoSpaceDE w:val="0"/>
              <w:autoSpaceDN w:val="0"/>
              <w:adjustRightInd w:val="0"/>
              <w:spacing w:before="120" w:after="0" w:line="240" w:lineRule="auto"/>
              <w:rPr>
                <w:rFonts w:ascii="Verdana" w:eastAsia="Times New Roman" w:hAnsi="Verdana" w:cs="Times New Roman"/>
                <w:sz w:val="16"/>
                <w:szCs w:val="16"/>
              </w:rPr>
            </w:pPr>
            <w:r w:rsidRPr="00406E45">
              <w:rPr>
                <w:rFonts w:ascii="Verdana" w:eastAsia="Times New Roman" w:hAnsi="Verdana" w:cs="Times New Roman"/>
                <w:sz w:val="16"/>
                <w:szCs w:val="16"/>
              </w:rPr>
              <w:t>16.43 KDD, 16.44 KDD</w:t>
            </w:r>
            <w:r w:rsidR="002B659B" w:rsidRPr="00406E45">
              <w:rPr>
                <w:rFonts w:ascii="Verdana" w:eastAsia="Times New Roman" w:hAnsi="Verdana" w:cs="Times New Roman"/>
                <w:sz w:val="16"/>
                <w:szCs w:val="16"/>
              </w:rPr>
              <w:t xml:space="preserve"> </w:t>
            </w:r>
            <w:r w:rsidRPr="00406E45">
              <w:rPr>
                <w:rFonts w:ascii="Verdana" w:hAnsi="Verdana" w:cs="TimesNewRomanPS-BoldMT"/>
                <w:bCs/>
                <w:sz w:val="16"/>
                <w:szCs w:val="16"/>
              </w:rPr>
              <w:t>tereny dróg publicznych – dojazdowych</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406E45" w:rsidRDefault="00EA1C22" w:rsidP="00D80E3E">
            <w:pPr>
              <w:spacing w:beforeLines="60" w:afterLines="60" w:line="240" w:lineRule="auto"/>
              <w:rPr>
                <w:rFonts w:ascii="Verdana" w:eastAsia="Times New Roman" w:hAnsi="Verdana" w:cs="Times New Roman"/>
                <w:sz w:val="16"/>
                <w:szCs w:val="16"/>
              </w:rPr>
            </w:pPr>
            <w:r w:rsidRPr="00406E45">
              <w:rPr>
                <w:rFonts w:ascii="Verdana" w:eastAsia="Times New Roman" w:hAnsi="Verdana" w:cs="Times New Roman"/>
                <w:sz w:val="16"/>
                <w:szCs w:val="16"/>
                <w:lang w:eastAsia="pl-PL"/>
              </w:rPr>
              <w:t>Maksymalna intensywność zabudowy</w:t>
            </w:r>
          </w:p>
        </w:tc>
        <w:tc>
          <w:tcPr>
            <w:tcW w:w="3600" w:type="dxa"/>
            <w:shd w:val="clear" w:color="auto" w:fill="auto"/>
          </w:tcPr>
          <w:p w:rsidR="0026377A" w:rsidRPr="00406E45" w:rsidRDefault="0012575B" w:rsidP="00334BF7">
            <w:pPr>
              <w:spacing w:before="120" w:after="120" w:line="240" w:lineRule="auto"/>
              <w:rPr>
                <w:rFonts w:ascii="Verdana" w:hAnsi="Verdana" w:cs="TimesNewRomanPSMT"/>
                <w:sz w:val="16"/>
                <w:szCs w:val="16"/>
              </w:rPr>
            </w:pPr>
            <w:r w:rsidRPr="00406E45">
              <w:rPr>
                <w:rFonts w:ascii="Verdana" w:hAnsi="Verdana" w:cs="TimesNewRomanPS-BoldMT"/>
                <w:bCs/>
                <w:sz w:val="16"/>
                <w:szCs w:val="16"/>
              </w:rPr>
              <w:t>4.</w:t>
            </w:r>
            <w:r w:rsidR="000E683C" w:rsidRPr="00406E45">
              <w:rPr>
                <w:rFonts w:ascii="Verdana" w:hAnsi="Verdana" w:cs="TimesNewRomanPS-BoldMT"/>
                <w:bCs/>
                <w:sz w:val="16"/>
                <w:szCs w:val="16"/>
              </w:rPr>
              <w:t>12</w:t>
            </w:r>
            <w:r w:rsidRPr="00406E45">
              <w:rPr>
                <w:rFonts w:ascii="Verdana" w:hAnsi="Verdana" w:cs="TimesNewRomanPS-BoldMT"/>
                <w:bCs/>
                <w:sz w:val="16"/>
                <w:szCs w:val="16"/>
              </w:rPr>
              <w:t>.MWn</w:t>
            </w:r>
            <w:r w:rsidR="00406E45" w:rsidRPr="00406E45">
              <w:rPr>
                <w:rFonts w:ascii="Verdana" w:hAnsi="Verdana" w:cs="TimesNewRomanPS-BoldMT"/>
                <w:bCs/>
                <w:sz w:val="16"/>
                <w:szCs w:val="16"/>
              </w:rPr>
              <w:t>:</w:t>
            </w:r>
            <w:r w:rsidR="002A348D" w:rsidRPr="00406E45">
              <w:rPr>
                <w:rFonts w:ascii="Verdana" w:hAnsi="Verdana" w:cs="TimesNewRomanPSMT"/>
                <w:sz w:val="16"/>
                <w:szCs w:val="16"/>
              </w:rPr>
              <w:t xml:space="preserve"> 30%</w:t>
            </w:r>
            <w:r w:rsidRPr="00406E45">
              <w:rPr>
                <w:rFonts w:ascii="Verdana" w:hAnsi="Verdana" w:cs="TimesNewRomanPSMT"/>
                <w:sz w:val="16"/>
                <w:szCs w:val="16"/>
              </w:rPr>
              <w:t xml:space="preserve">; </w:t>
            </w:r>
          </w:p>
          <w:p w:rsidR="002B659B" w:rsidRPr="00406E45" w:rsidRDefault="002B659B" w:rsidP="00406E45">
            <w:pPr>
              <w:spacing w:before="120" w:after="120" w:line="240" w:lineRule="auto"/>
              <w:rPr>
                <w:rFonts w:ascii="Verdana" w:hAnsi="Verdana" w:cs="TimesNewRomanPSMT"/>
                <w:sz w:val="16"/>
                <w:szCs w:val="16"/>
              </w:rPr>
            </w:pPr>
            <w:r w:rsidRPr="00406E45">
              <w:rPr>
                <w:rFonts w:ascii="Verdana" w:eastAsia="Times New Roman" w:hAnsi="Verdana" w:cs="Times New Roman"/>
                <w:sz w:val="16"/>
                <w:szCs w:val="16"/>
              </w:rPr>
              <w:t>16.43 KDD, 16.44 KDD</w:t>
            </w:r>
            <w:r w:rsidR="00406E45" w:rsidRPr="00406E45">
              <w:rPr>
                <w:rFonts w:ascii="Verdana" w:eastAsia="Times New Roman" w:hAnsi="Verdana" w:cs="Times New Roman"/>
                <w:sz w:val="16"/>
                <w:szCs w:val="16"/>
              </w:rPr>
              <w:t>:</w:t>
            </w:r>
            <w:r w:rsidRPr="00406E45">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406E45" w:rsidRDefault="00EA1C22" w:rsidP="00D80E3E">
            <w:pPr>
              <w:spacing w:beforeLines="60" w:afterLines="60" w:line="240" w:lineRule="auto"/>
              <w:rPr>
                <w:rFonts w:ascii="Verdana" w:eastAsia="Times New Roman" w:hAnsi="Verdana" w:cs="Times New Roman"/>
                <w:sz w:val="16"/>
                <w:szCs w:val="16"/>
              </w:rPr>
            </w:pPr>
            <w:r w:rsidRPr="00406E45">
              <w:rPr>
                <w:rFonts w:ascii="Verdana" w:eastAsia="Times New Roman" w:hAnsi="Verdana" w:cs="Times New Roman"/>
                <w:sz w:val="16"/>
                <w:szCs w:val="16"/>
                <w:lang w:eastAsia="pl-PL"/>
              </w:rPr>
              <w:t xml:space="preserve">Maksymalna </w:t>
            </w:r>
            <w:r w:rsidR="00B05779" w:rsidRPr="00406E45">
              <w:rPr>
                <w:rFonts w:ascii="Verdana" w:eastAsia="Times New Roman" w:hAnsi="Verdana" w:cs="Times New Roman"/>
                <w:sz w:val="16"/>
                <w:szCs w:val="16"/>
                <w:lang w:eastAsia="pl-PL"/>
              </w:rPr>
              <w:t>i minimalna nadziemna intensywność zabudowy</w:t>
            </w:r>
          </w:p>
        </w:tc>
        <w:tc>
          <w:tcPr>
            <w:tcW w:w="3600" w:type="dxa"/>
            <w:shd w:val="clear" w:color="auto" w:fill="auto"/>
          </w:tcPr>
          <w:p w:rsidR="00406E45" w:rsidRPr="00406E45" w:rsidRDefault="00DE09EC" w:rsidP="00406E45">
            <w:pPr>
              <w:spacing w:after="0" w:line="240" w:lineRule="auto"/>
              <w:rPr>
                <w:rFonts w:ascii="Verdana" w:hAnsi="Verdana" w:cs="TimesNewRomanPSMT"/>
                <w:sz w:val="16"/>
                <w:szCs w:val="16"/>
              </w:rPr>
            </w:pPr>
            <w:r w:rsidRPr="00406E45">
              <w:rPr>
                <w:rFonts w:ascii="Verdana" w:hAnsi="Verdana" w:cs="TimesNewRomanPS-BoldMT"/>
                <w:bCs/>
                <w:sz w:val="16"/>
                <w:szCs w:val="16"/>
              </w:rPr>
              <w:t>4.12.MWn</w:t>
            </w:r>
            <w:r w:rsidR="00406E45" w:rsidRPr="00406E45">
              <w:rPr>
                <w:rFonts w:ascii="Verdana" w:hAnsi="Verdana" w:cs="TimesNewRomanPS-BoldMT"/>
                <w:bCs/>
                <w:sz w:val="16"/>
                <w:szCs w:val="16"/>
              </w:rPr>
              <w:t>:</w:t>
            </w:r>
            <w:r w:rsidRPr="00406E45">
              <w:rPr>
                <w:rFonts w:ascii="Verdana" w:hAnsi="Verdana" w:cs="TimesNewRomanPSMT"/>
                <w:sz w:val="16"/>
                <w:szCs w:val="16"/>
              </w:rPr>
              <w:t xml:space="preserve"> </w:t>
            </w:r>
          </w:p>
          <w:p w:rsidR="001F17E3" w:rsidRPr="00406E45" w:rsidRDefault="00406E45" w:rsidP="00406E45">
            <w:pPr>
              <w:spacing w:after="0" w:line="240" w:lineRule="auto"/>
              <w:rPr>
                <w:rFonts w:ascii="Verdana" w:hAnsi="Verdana" w:cs="TimesNewRomanPSMT"/>
                <w:sz w:val="16"/>
                <w:szCs w:val="16"/>
              </w:rPr>
            </w:pPr>
            <w:r w:rsidRPr="00406E45">
              <w:rPr>
                <w:rFonts w:ascii="Verdana" w:hAnsi="Verdana" w:cs="TimesNewRomanPSMT"/>
                <w:sz w:val="16"/>
                <w:szCs w:val="16"/>
              </w:rPr>
              <w:t xml:space="preserve">maksymalna </w:t>
            </w:r>
            <w:r w:rsidR="001F17E3" w:rsidRPr="00406E45">
              <w:rPr>
                <w:rFonts w:ascii="Verdana" w:hAnsi="Verdana" w:cs="TimesNewRomanPSMT"/>
                <w:sz w:val="16"/>
                <w:szCs w:val="16"/>
              </w:rPr>
              <w:t>brak ustaleń</w:t>
            </w:r>
          </w:p>
          <w:p w:rsidR="00DE09EC" w:rsidRPr="00406E45" w:rsidRDefault="00DE09EC" w:rsidP="00406E45">
            <w:pPr>
              <w:spacing w:after="0" w:line="240" w:lineRule="auto"/>
              <w:rPr>
                <w:rFonts w:ascii="Verdana" w:hAnsi="Verdana" w:cs="TimesNewRomanPSMT"/>
                <w:sz w:val="16"/>
                <w:szCs w:val="16"/>
              </w:rPr>
            </w:pPr>
            <w:r w:rsidRPr="00406E45">
              <w:rPr>
                <w:rFonts w:ascii="Verdana" w:hAnsi="Verdana" w:cs="TimesNewRomanPSMT"/>
                <w:sz w:val="16"/>
                <w:szCs w:val="16"/>
              </w:rPr>
              <w:t xml:space="preserve">minimalna - </w:t>
            </w:r>
            <w:r w:rsidR="001F17E3" w:rsidRPr="00406E45">
              <w:rPr>
                <w:rFonts w:ascii="Verdana" w:hAnsi="Verdana" w:cs="TimesNewRomanPSMT"/>
                <w:sz w:val="16"/>
                <w:szCs w:val="16"/>
              </w:rPr>
              <w:t>brak ustaleń</w:t>
            </w:r>
          </w:p>
          <w:p w:rsidR="002B659B" w:rsidRPr="00406E45" w:rsidRDefault="00DE09EC" w:rsidP="00406E45">
            <w:pPr>
              <w:spacing w:before="120" w:after="120" w:line="240" w:lineRule="auto"/>
              <w:rPr>
                <w:rFonts w:ascii="Verdana" w:eastAsia="Times New Roman" w:hAnsi="Verdana" w:cs="Times New Roman"/>
                <w:sz w:val="16"/>
                <w:szCs w:val="16"/>
              </w:rPr>
            </w:pPr>
            <w:r w:rsidRPr="00406E45">
              <w:rPr>
                <w:rFonts w:ascii="Verdana" w:eastAsia="Times New Roman" w:hAnsi="Verdana" w:cs="Times New Roman"/>
                <w:sz w:val="16"/>
                <w:szCs w:val="16"/>
              </w:rPr>
              <w:lastRenderedPageBreak/>
              <w:t>16.43 KDD, 16.44 KDD</w:t>
            </w:r>
            <w:r w:rsidR="00406E45" w:rsidRPr="00406E45">
              <w:rPr>
                <w:rFonts w:ascii="Verdana" w:eastAsia="Times New Roman" w:hAnsi="Verdana" w:cs="Times New Roman"/>
                <w:sz w:val="16"/>
                <w:szCs w:val="16"/>
              </w:rPr>
              <w:t>:</w:t>
            </w:r>
            <w:r w:rsidRPr="00406E45">
              <w:rPr>
                <w:rFonts w:ascii="Verdana" w:eastAsia="Times New Roman" w:hAnsi="Verdana" w:cs="Times New Roman"/>
                <w:sz w:val="16"/>
                <w:szCs w:val="16"/>
              </w:rPr>
              <w:t xml:space="preserve"> brak ustaleń</w:t>
            </w:r>
          </w:p>
        </w:tc>
      </w:tr>
      <w:tr w:rsidR="00B05779" w:rsidRPr="00BC2537" w:rsidTr="001F7FC1">
        <w:trPr>
          <w:trHeight w:val="2"/>
        </w:trPr>
        <w:tc>
          <w:tcPr>
            <w:tcW w:w="2958" w:type="dxa"/>
            <w:vMerge/>
            <w:shd w:val="clear" w:color="auto" w:fill="F3F3F3"/>
          </w:tcPr>
          <w:p w:rsidR="00B05779" w:rsidRPr="00BC2537" w:rsidRDefault="00B05779"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B05779" w:rsidRPr="00406E45" w:rsidRDefault="00DF0B52" w:rsidP="00D80E3E">
            <w:pPr>
              <w:spacing w:beforeLines="60" w:afterLines="60" w:line="240" w:lineRule="auto"/>
              <w:rPr>
                <w:rFonts w:ascii="Verdana" w:eastAsia="Times New Roman" w:hAnsi="Verdana" w:cs="Times New Roman"/>
                <w:sz w:val="16"/>
                <w:szCs w:val="16"/>
                <w:lang w:eastAsia="pl-PL"/>
              </w:rPr>
            </w:pPr>
            <w:r w:rsidRPr="00406E45">
              <w:rPr>
                <w:rFonts w:ascii="Verdana" w:eastAsia="Times New Roman" w:hAnsi="Verdana" w:cs="Times New Roman"/>
                <w:sz w:val="16"/>
                <w:szCs w:val="16"/>
                <w:lang w:eastAsia="pl-PL"/>
              </w:rPr>
              <w:t>Maksymalna powierzchnia zabudowy</w:t>
            </w:r>
          </w:p>
        </w:tc>
        <w:tc>
          <w:tcPr>
            <w:tcW w:w="3600" w:type="dxa"/>
            <w:shd w:val="clear" w:color="auto" w:fill="auto"/>
          </w:tcPr>
          <w:p w:rsidR="00406E45" w:rsidRPr="00406E45" w:rsidRDefault="00406E45" w:rsidP="00406E45">
            <w:pPr>
              <w:spacing w:before="120" w:after="120" w:line="240" w:lineRule="auto"/>
              <w:rPr>
                <w:rFonts w:ascii="Verdana" w:hAnsi="Verdana" w:cs="TimesNewRomanPSMT"/>
                <w:sz w:val="16"/>
                <w:szCs w:val="16"/>
              </w:rPr>
            </w:pPr>
            <w:r w:rsidRPr="00406E45">
              <w:rPr>
                <w:rFonts w:ascii="Verdana" w:hAnsi="Verdana" w:cs="TimesNewRomanPS-BoldMT"/>
                <w:bCs/>
                <w:sz w:val="16"/>
                <w:szCs w:val="16"/>
              </w:rPr>
              <w:t>4.12.MWn:</w:t>
            </w:r>
            <w:r w:rsidRPr="00406E45">
              <w:rPr>
                <w:rFonts w:ascii="Verdana" w:hAnsi="Verdana" w:cs="TimesNewRomanPSMT"/>
                <w:sz w:val="16"/>
                <w:szCs w:val="16"/>
              </w:rPr>
              <w:t xml:space="preserve"> </w:t>
            </w:r>
            <w:r w:rsidRPr="00406E45">
              <w:rPr>
                <w:rFonts w:ascii="Verdana" w:eastAsia="Times New Roman" w:hAnsi="Verdana" w:cs="Times New Roman"/>
                <w:sz w:val="16"/>
                <w:szCs w:val="16"/>
              </w:rPr>
              <w:t>brak ustaleń</w:t>
            </w:r>
          </w:p>
          <w:p w:rsidR="00B05779" w:rsidRPr="00406E45" w:rsidRDefault="00406E45" w:rsidP="00406E45">
            <w:pPr>
              <w:spacing w:before="120" w:after="120" w:line="240" w:lineRule="auto"/>
              <w:rPr>
                <w:rFonts w:ascii="Verdana" w:hAnsi="Verdana" w:cs="TimesNewRomanPS-BoldMT"/>
                <w:bCs/>
                <w:sz w:val="16"/>
                <w:szCs w:val="16"/>
              </w:rPr>
            </w:pPr>
            <w:r w:rsidRPr="00406E45">
              <w:rPr>
                <w:rFonts w:ascii="Verdana" w:eastAsia="Times New Roman" w:hAnsi="Verdana" w:cs="Times New Roman"/>
                <w:sz w:val="16"/>
                <w:szCs w:val="16"/>
              </w:rPr>
              <w:t xml:space="preserve">16.43 KDD, 16.44 KDD: brak ustaleń </w:t>
            </w:r>
          </w:p>
        </w:tc>
      </w:tr>
      <w:tr w:rsidR="00B05779" w:rsidRPr="00BC2537" w:rsidTr="001F7FC1">
        <w:trPr>
          <w:trHeight w:val="2"/>
        </w:trPr>
        <w:tc>
          <w:tcPr>
            <w:tcW w:w="2958" w:type="dxa"/>
            <w:vMerge/>
            <w:shd w:val="clear" w:color="auto" w:fill="F3F3F3"/>
          </w:tcPr>
          <w:p w:rsidR="00B05779" w:rsidRPr="00BC2537" w:rsidRDefault="00B05779"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B05779" w:rsidRPr="00406E45" w:rsidRDefault="00DF0B52" w:rsidP="00D80E3E">
            <w:pPr>
              <w:spacing w:beforeLines="60" w:afterLines="60" w:line="240" w:lineRule="auto"/>
              <w:rPr>
                <w:rFonts w:ascii="Verdana" w:eastAsia="Times New Roman" w:hAnsi="Verdana" w:cs="Times New Roman"/>
                <w:sz w:val="16"/>
                <w:szCs w:val="16"/>
                <w:lang w:eastAsia="pl-PL"/>
              </w:rPr>
            </w:pPr>
            <w:r w:rsidRPr="00406E45">
              <w:rPr>
                <w:rFonts w:ascii="Verdana" w:eastAsia="Times New Roman" w:hAnsi="Verdana" w:cs="Times New Roman"/>
                <w:sz w:val="16"/>
                <w:szCs w:val="16"/>
                <w:lang w:eastAsia="pl-PL"/>
              </w:rPr>
              <w:t>Maksymalna wysokość zabudowy</w:t>
            </w:r>
          </w:p>
        </w:tc>
        <w:tc>
          <w:tcPr>
            <w:tcW w:w="3600" w:type="dxa"/>
            <w:shd w:val="clear" w:color="auto" w:fill="auto"/>
          </w:tcPr>
          <w:p w:rsidR="00DF0B52" w:rsidRPr="00406E45" w:rsidRDefault="00DF0B52" w:rsidP="00DF0B52">
            <w:pPr>
              <w:spacing w:before="120" w:after="120" w:line="240" w:lineRule="auto"/>
              <w:rPr>
                <w:rFonts w:ascii="Verdana" w:eastAsia="Times New Roman" w:hAnsi="Verdana" w:cs="Times New Roman"/>
                <w:sz w:val="16"/>
                <w:szCs w:val="16"/>
              </w:rPr>
            </w:pPr>
            <w:r w:rsidRPr="00406E45">
              <w:rPr>
                <w:rFonts w:ascii="Verdana" w:hAnsi="Verdana" w:cs="TimesNewRomanPS-BoldMT"/>
                <w:bCs/>
                <w:sz w:val="16"/>
                <w:szCs w:val="16"/>
              </w:rPr>
              <w:t>4.12.MWn</w:t>
            </w:r>
            <w:r w:rsidR="00406E45" w:rsidRPr="00406E45">
              <w:rPr>
                <w:rFonts w:ascii="Verdana" w:hAnsi="Verdana" w:cs="TimesNewRomanPS-BoldMT"/>
                <w:bCs/>
                <w:sz w:val="16"/>
                <w:szCs w:val="16"/>
              </w:rPr>
              <w:t>:</w:t>
            </w:r>
            <w:r w:rsidRPr="00406E45">
              <w:rPr>
                <w:rFonts w:ascii="TimesNewRomanPS-BoldMT" w:hAnsi="TimesNewRomanPS-BoldMT" w:cs="TimesNewRomanPS-BoldMT"/>
                <w:bCs/>
                <w:sz w:val="16"/>
                <w:szCs w:val="16"/>
              </w:rPr>
              <w:t xml:space="preserve">  </w:t>
            </w:r>
            <w:r w:rsidRPr="00406E45">
              <w:rPr>
                <w:rFonts w:ascii="Verdana" w:eastAsia="Times New Roman" w:hAnsi="Verdana" w:cs="Times New Roman"/>
                <w:sz w:val="16"/>
                <w:szCs w:val="16"/>
              </w:rPr>
              <w:t>do 9 m</w:t>
            </w:r>
          </w:p>
          <w:p w:rsidR="00B05779" w:rsidRPr="00406E45" w:rsidRDefault="00DF0B52" w:rsidP="00406E45">
            <w:pPr>
              <w:spacing w:before="120" w:after="120" w:line="240" w:lineRule="auto"/>
              <w:rPr>
                <w:rFonts w:ascii="Verdana" w:hAnsi="Verdana" w:cs="TimesNewRomanPS-BoldMT"/>
                <w:bCs/>
                <w:sz w:val="16"/>
                <w:szCs w:val="16"/>
              </w:rPr>
            </w:pPr>
            <w:r w:rsidRPr="00406E45">
              <w:rPr>
                <w:rFonts w:ascii="Verdana" w:eastAsia="Times New Roman" w:hAnsi="Verdana" w:cs="Times New Roman"/>
                <w:sz w:val="16"/>
                <w:szCs w:val="16"/>
              </w:rPr>
              <w:t>16.43 KDD, 16.44 KDD</w:t>
            </w:r>
            <w:r w:rsidR="00406E45" w:rsidRPr="00406E45">
              <w:rPr>
                <w:rFonts w:ascii="Verdana" w:eastAsia="Times New Roman" w:hAnsi="Verdana" w:cs="Times New Roman"/>
                <w:sz w:val="16"/>
                <w:szCs w:val="16"/>
              </w:rPr>
              <w:t>:</w:t>
            </w:r>
            <w:r w:rsidRPr="00406E45">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Minimalny udział procentowy powierzchni biologicznie czynnej</w:t>
            </w:r>
          </w:p>
        </w:tc>
        <w:tc>
          <w:tcPr>
            <w:tcW w:w="3600" w:type="dxa"/>
            <w:shd w:val="clear" w:color="auto" w:fill="auto"/>
          </w:tcPr>
          <w:p w:rsidR="00EA1C22" w:rsidRDefault="000B4F79" w:rsidP="00334BF7">
            <w:pPr>
              <w:spacing w:before="120" w:after="120" w:line="240" w:lineRule="auto"/>
              <w:rPr>
                <w:rFonts w:ascii="Verdana" w:hAnsi="Verdana" w:cs="TimesNewRomanPSMT"/>
                <w:sz w:val="16"/>
                <w:szCs w:val="16"/>
              </w:rPr>
            </w:pPr>
            <w:r>
              <w:rPr>
                <w:rFonts w:ascii="Verdana" w:hAnsi="Verdana" w:cs="TimesNewRomanPS-BoldMT"/>
                <w:bCs/>
                <w:sz w:val="16"/>
                <w:szCs w:val="16"/>
              </w:rPr>
              <w:t>4.</w:t>
            </w:r>
            <w:r w:rsidR="000E683C">
              <w:rPr>
                <w:rFonts w:ascii="Verdana" w:hAnsi="Verdana" w:cs="TimesNewRomanPS-BoldMT"/>
                <w:bCs/>
                <w:sz w:val="16"/>
                <w:szCs w:val="16"/>
              </w:rPr>
              <w:t>12</w:t>
            </w:r>
            <w:r w:rsidR="0026377A" w:rsidRPr="00640106">
              <w:rPr>
                <w:rFonts w:ascii="Verdana" w:hAnsi="Verdana" w:cs="TimesNewRomanPS-BoldMT"/>
                <w:bCs/>
                <w:sz w:val="16"/>
                <w:szCs w:val="16"/>
              </w:rPr>
              <w:t>.MWn</w:t>
            </w:r>
            <w:r w:rsidR="00406E45">
              <w:rPr>
                <w:rFonts w:ascii="Verdana" w:hAnsi="Verdana" w:cs="TimesNewRomanPS-BoldMT"/>
                <w:bCs/>
                <w:sz w:val="16"/>
                <w:szCs w:val="16"/>
              </w:rPr>
              <w:t>:</w:t>
            </w:r>
            <w:r w:rsidR="002B659B">
              <w:rPr>
                <w:rFonts w:ascii="Verdana" w:hAnsi="Verdana" w:cs="TimesNewRomanPS-BoldMT"/>
                <w:bCs/>
                <w:sz w:val="16"/>
                <w:szCs w:val="16"/>
              </w:rPr>
              <w:t xml:space="preserve"> </w:t>
            </w:r>
            <w:r w:rsidR="002A348D" w:rsidRPr="00640106">
              <w:rPr>
                <w:rFonts w:ascii="Verdana" w:hAnsi="Verdana" w:cs="TimesNewRomanPSMT"/>
                <w:sz w:val="16"/>
                <w:szCs w:val="16"/>
              </w:rPr>
              <w:t>50% w stosunku do powierzchni działki</w:t>
            </w:r>
          </w:p>
          <w:p w:rsidR="002B659B" w:rsidRPr="00640106" w:rsidRDefault="002B659B" w:rsidP="00406E45">
            <w:pPr>
              <w:spacing w:before="120" w:after="12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16.43 KDD, 16.44 KDD</w:t>
            </w:r>
            <w:r w:rsidR="00406E45">
              <w:rPr>
                <w:rFonts w:ascii="Verdana" w:eastAsia="Times New Roman" w:hAnsi="Verdana" w:cs="Times New Roman"/>
                <w:sz w:val="16"/>
                <w:szCs w:val="16"/>
              </w:rPr>
              <w:t>:</w:t>
            </w:r>
            <w:r>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Minimalna liczba miejsc do parkowania</w:t>
            </w:r>
          </w:p>
        </w:tc>
        <w:tc>
          <w:tcPr>
            <w:tcW w:w="3600" w:type="dxa"/>
            <w:shd w:val="clear" w:color="auto" w:fill="auto"/>
          </w:tcPr>
          <w:p w:rsidR="00EA1C22" w:rsidRPr="00C37F70" w:rsidRDefault="0012575B" w:rsidP="00334BF7">
            <w:pPr>
              <w:spacing w:before="120" w:after="120" w:line="240" w:lineRule="auto"/>
              <w:rPr>
                <w:rFonts w:ascii="Verdana" w:hAnsi="Verdana" w:cs="TimesNewRomanPSMT"/>
                <w:sz w:val="16"/>
                <w:szCs w:val="16"/>
              </w:rPr>
            </w:pPr>
            <w:r w:rsidRPr="00C37F70">
              <w:rPr>
                <w:rFonts w:ascii="Verdana" w:hAnsi="Verdana" w:cs="TimesNewRomanPS-BoldMT"/>
                <w:bCs/>
                <w:sz w:val="16"/>
                <w:szCs w:val="16"/>
              </w:rPr>
              <w:t>4.1</w:t>
            </w:r>
            <w:r w:rsidR="000E683C" w:rsidRPr="00C37F70">
              <w:rPr>
                <w:rFonts w:ascii="Verdana" w:hAnsi="Verdana" w:cs="TimesNewRomanPS-BoldMT"/>
                <w:bCs/>
                <w:sz w:val="16"/>
                <w:szCs w:val="16"/>
              </w:rPr>
              <w:t>2</w:t>
            </w:r>
            <w:r w:rsidRPr="00C37F70">
              <w:rPr>
                <w:rFonts w:ascii="Verdana" w:hAnsi="Verdana" w:cs="TimesNewRomanPS-BoldMT"/>
                <w:bCs/>
                <w:sz w:val="16"/>
                <w:szCs w:val="16"/>
              </w:rPr>
              <w:t>.MWn</w:t>
            </w:r>
            <w:r w:rsidR="00406E45">
              <w:rPr>
                <w:rFonts w:ascii="Verdana" w:hAnsi="Verdana" w:cs="TimesNewRomanPS-BoldMT"/>
                <w:bCs/>
                <w:sz w:val="16"/>
                <w:szCs w:val="16"/>
              </w:rPr>
              <w:t>:</w:t>
            </w:r>
            <w:r w:rsidR="002B659B" w:rsidRPr="00C37F70">
              <w:rPr>
                <w:rFonts w:ascii="TimesNewRomanPS-BoldMT" w:hAnsi="TimesNewRomanPS-BoldMT" w:cs="TimesNewRomanPS-BoldMT"/>
                <w:bCs/>
                <w:sz w:val="16"/>
                <w:szCs w:val="16"/>
              </w:rPr>
              <w:t xml:space="preserve"> </w:t>
            </w:r>
            <w:r w:rsidR="00CB3633" w:rsidRPr="00C37F70">
              <w:rPr>
                <w:rFonts w:ascii="Verdana" w:hAnsi="Verdana" w:cs="TimesNewRomanPSMT"/>
                <w:sz w:val="16"/>
                <w:szCs w:val="16"/>
              </w:rPr>
              <w:t>1,4 miejsca postojowego na</w:t>
            </w:r>
            <w:r w:rsidR="002B659B" w:rsidRPr="00C37F70">
              <w:rPr>
                <w:rFonts w:ascii="Verdana" w:hAnsi="Verdana" w:cs="TimesNewRomanPSMT"/>
                <w:sz w:val="16"/>
                <w:szCs w:val="16"/>
              </w:rPr>
              <w:t xml:space="preserve"> </w:t>
            </w:r>
            <w:r w:rsidR="00CB3633" w:rsidRPr="00C37F70">
              <w:rPr>
                <w:rFonts w:ascii="Verdana" w:hAnsi="Verdana" w:cs="TimesNewRomanPSMT"/>
                <w:sz w:val="16"/>
                <w:szCs w:val="16"/>
              </w:rPr>
              <w:t>1 mieszkanie</w:t>
            </w:r>
          </w:p>
          <w:p w:rsidR="002B659B" w:rsidRPr="00C37F70" w:rsidRDefault="002B659B" w:rsidP="00406E45">
            <w:pPr>
              <w:spacing w:before="120" w:after="12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16.43 KDD, 16.44 KDD</w:t>
            </w:r>
            <w:r w:rsidR="00406E45">
              <w:rPr>
                <w:rFonts w:ascii="Verdana" w:eastAsia="Times New Roman" w:hAnsi="Verdana" w:cs="Times New Roman"/>
                <w:sz w:val="16"/>
                <w:szCs w:val="16"/>
              </w:rPr>
              <w:t>:</w:t>
            </w:r>
            <w:r w:rsidRPr="00C37F70">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środowiska i zdrowia ludzi, przyrody i krajobrazu</w:t>
            </w:r>
          </w:p>
        </w:tc>
        <w:tc>
          <w:tcPr>
            <w:tcW w:w="3600" w:type="dxa"/>
            <w:shd w:val="clear" w:color="auto" w:fill="auto"/>
          </w:tcPr>
          <w:p w:rsidR="00D87ABB" w:rsidRPr="00C37F70" w:rsidRDefault="00D87ABB" w:rsidP="00334BF7">
            <w:pPr>
              <w:autoSpaceDE w:val="0"/>
              <w:autoSpaceDN w:val="0"/>
              <w:adjustRightInd w:val="0"/>
              <w:spacing w:before="120" w:after="0" w:line="240" w:lineRule="auto"/>
              <w:rPr>
                <w:rFonts w:ascii="Verdana" w:hAnsi="Verdana" w:cs="TimesNewRomanPSMT"/>
                <w:sz w:val="16"/>
                <w:szCs w:val="16"/>
              </w:rPr>
            </w:pPr>
            <w:r w:rsidRPr="00C37F70">
              <w:rPr>
                <w:rFonts w:ascii="Verdana" w:hAnsi="Verdana" w:cs="TimesNewRomanPSMT"/>
                <w:sz w:val="16"/>
                <w:szCs w:val="16"/>
              </w:rPr>
              <w:t>1. Zakazuje się lokalizowania na obszarze planu wszelkich funkcji związanych z użytkowaniem</w:t>
            </w:r>
            <w:r w:rsidR="00215FD0" w:rsidRPr="00C37F70">
              <w:rPr>
                <w:rFonts w:ascii="Verdana" w:hAnsi="Verdana" w:cs="TimesNewRomanPSMT"/>
                <w:sz w:val="16"/>
                <w:szCs w:val="16"/>
              </w:rPr>
              <w:t xml:space="preserve"> </w:t>
            </w:r>
            <w:r w:rsidRPr="00C37F70">
              <w:rPr>
                <w:rFonts w:ascii="Verdana" w:hAnsi="Verdana" w:cs="TimesNewRomanPSMT"/>
                <w:sz w:val="16"/>
                <w:szCs w:val="16"/>
              </w:rPr>
              <w:t>obiektów lub działalnością usługową mogących naruszyć istniejące przepisy w zakresie ochrony środowiska.</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2. Zakazuje się lokalizowania na obszarze planu inwestycji mogących zawsze znacząco oddziaływać na środowisko.</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3. Uciążliwość prowadzonej działalności winna zamykać się w granicach terenów, do których prowadzący</w:t>
            </w:r>
            <w:r w:rsidR="00406E45">
              <w:rPr>
                <w:rFonts w:ascii="Verdana" w:hAnsi="Verdana" w:cs="TimesNewRomanPSMT"/>
                <w:sz w:val="16"/>
                <w:szCs w:val="16"/>
              </w:rPr>
              <w:t xml:space="preserve"> </w:t>
            </w:r>
            <w:r w:rsidRPr="00C37F70">
              <w:rPr>
                <w:rFonts w:ascii="Verdana" w:hAnsi="Verdana" w:cs="TimesNewRomanPSMT"/>
                <w:sz w:val="16"/>
                <w:szCs w:val="16"/>
              </w:rPr>
              <w:t>działalność posiada tytuł prawny, z wyjątkiem inwestycji celu publicznego z zakresu łączności. Uciążliwość</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inwestycji z zakresu infrastruktury telekomunikacyjnej winna spełniać wyznaczone przepisami prawa standardy.</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4. Wody opadowe spływające z terenów utwardzonych i zanieczyszczonych winny być podczyszczane w stopniu zapewniającym spełnienie wymagań obowiązujących przepisów; sposób odprowadzenia wód</w:t>
            </w:r>
            <w:r w:rsidR="00406E45">
              <w:rPr>
                <w:rFonts w:ascii="Verdana" w:hAnsi="Verdana" w:cs="TimesNewRomanPSMT"/>
                <w:sz w:val="16"/>
                <w:szCs w:val="16"/>
              </w:rPr>
              <w:t xml:space="preserve"> </w:t>
            </w:r>
            <w:r w:rsidRPr="00C37F70">
              <w:rPr>
                <w:rFonts w:ascii="Verdana" w:hAnsi="Verdana" w:cs="TimesNewRomanPSMT"/>
                <w:sz w:val="16"/>
                <w:szCs w:val="16"/>
              </w:rPr>
              <w:t>opadowych winien uwzględniać uwarunkowania terenów sąsiednich i nie może powodować na nich szkód.</w:t>
            </w:r>
            <w:r w:rsidR="00406E45">
              <w:rPr>
                <w:rFonts w:ascii="Verdana" w:hAnsi="Verdana" w:cs="TimesNewRomanPSMT"/>
                <w:sz w:val="16"/>
                <w:szCs w:val="16"/>
              </w:rPr>
              <w:t xml:space="preserve"> </w:t>
            </w:r>
            <w:r w:rsidRPr="00C37F70">
              <w:rPr>
                <w:rFonts w:ascii="Verdana" w:hAnsi="Verdana" w:cs="TimesNewRomanPSMT"/>
                <w:sz w:val="16"/>
                <w:szCs w:val="16"/>
              </w:rPr>
              <w:t>Wody opadowe z utwardzonych terenów komunikacji samochodowej (np. parkingi, place manewrowe,</w:t>
            </w:r>
            <w:r w:rsidR="00406E45">
              <w:rPr>
                <w:rFonts w:ascii="Verdana" w:hAnsi="Verdana" w:cs="TimesNewRomanPSMT"/>
                <w:sz w:val="16"/>
                <w:szCs w:val="16"/>
              </w:rPr>
              <w:t xml:space="preserve"> </w:t>
            </w:r>
            <w:r w:rsidRPr="00C37F70">
              <w:rPr>
                <w:rFonts w:ascii="Verdana" w:hAnsi="Verdana" w:cs="TimesNewRomanPSMT"/>
                <w:sz w:val="16"/>
                <w:szCs w:val="16"/>
              </w:rPr>
              <w:t>dojazdy) należy odprowadzić do kanalizacji deszczowej, zgodnie z obowiązującymi przepisami.</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5. Należy stosować rozwiązania techniczne, technologiczne i organizacyjne gwarantujące zabezpieczenie</w:t>
            </w:r>
            <w:r w:rsidR="00406E45">
              <w:rPr>
                <w:rFonts w:ascii="Verdana" w:hAnsi="Verdana" w:cs="TimesNewRomanPSMT"/>
                <w:sz w:val="16"/>
                <w:szCs w:val="16"/>
              </w:rPr>
              <w:t xml:space="preserve"> </w:t>
            </w:r>
            <w:r w:rsidRPr="00C37F70">
              <w:rPr>
                <w:rFonts w:ascii="Verdana" w:hAnsi="Verdana" w:cs="TimesNewRomanPSMT"/>
                <w:sz w:val="16"/>
                <w:szCs w:val="16"/>
              </w:rPr>
              <w:t>przed zanieczyszczeniem środowiska.</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6. Ustala się, że funkcje i sposób ich realizacji na terenach objętych opracowaniem nie spowoduje:</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1) przekroczenia dopuszczalnego poziomu hałasu;</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2) emisji substancji zanieczyszczających powietrze atmosferyczne w ilościach ponadnormatywnych;</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3) wystąpienia wibracji o natężeniu oddziałującym szkodliwie na środowisko a zwłaszcza na zdrowie ludzi</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oraz otaczające obiekty budowlane;</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4) wystąpienia promieniowania niejonizującego, stwarzającego zagrożenie zdrowia i życia ludzi, bądź uszkodzenia albo zniszczenia środowiska;</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5) zrzutu ścieków, które mogłyby zakłócić istniejącą równowagę systemu ekologicznego najbliższego</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otoczenia oraz wywołać pogorszenie jakości środowiska przyrodniczego.</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7. Przy realizacji ustaleń planu należy zapewnić ochronę siedlisk i stanowisk ochronnych gatunków</w:t>
            </w:r>
            <w:r w:rsidR="00406E45">
              <w:rPr>
                <w:rFonts w:ascii="Verdana" w:hAnsi="Verdana" w:cs="TimesNewRomanPSMT"/>
                <w:sz w:val="16"/>
                <w:szCs w:val="16"/>
              </w:rPr>
              <w:t xml:space="preserve"> </w:t>
            </w:r>
            <w:r w:rsidRPr="00C37F70">
              <w:rPr>
                <w:rFonts w:ascii="Verdana" w:hAnsi="Verdana" w:cs="TimesNewRomanPSMT"/>
                <w:sz w:val="16"/>
                <w:szCs w:val="16"/>
              </w:rPr>
              <w:t>zgodnie z obowiązującymi przepisami prawa dotyczącymi ochrony gatunkowej dziko występujących roślin</w:t>
            </w:r>
            <w:r w:rsidR="00406E45">
              <w:rPr>
                <w:rFonts w:ascii="Verdana" w:hAnsi="Verdana" w:cs="TimesNewRomanPSMT"/>
                <w:sz w:val="16"/>
                <w:szCs w:val="16"/>
              </w:rPr>
              <w:t xml:space="preserve"> </w:t>
            </w:r>
            <w:r w:rsidRPr="00C37F70">
              <w:rPr>
                <w:rFonts w:ascii="Verdana" w:hAnsi="Verdana" w:cs="TimesNewRomanPSMT"/>
                <w:sz w:val="16"/>
                <w:szCs w:val="16"/>
              </w:rPr>
              <w:t xml:space="preserve">objętych ochroną, dziko występujących zwierząt objętych ochroną, dziko występujących gatunków </w:t>
            </w:r>
            <w:r w:rsidRPr="00C37F70">
              <w:rPr>
                <w:rFonts w:ascii="Verdana" w:hAnsi="Verdana" w:cs="TimesNewRomanPSMT"/>
                <w:sz w:val="16"/>
                <w:szCs w:val="16"/>
              </w:rPr>
              <w:lastRenderedPageBreak/>
              <w:t>grzybów objętych ochroną.</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8. Należy chronić drzewa w granicach planu, przyszłe zainwestowanie terenu powinno je uwzględniać.</w:t>
            </w:r>
            <w:r w:rsidR="00406E45">
              <w:rPr>
                <w:rFonts w:ascii="Verdana" w:hAnsi="Verdana" w:cs="TimesNewRomanPSMT"/>
                <w:sz w:val="16"/>
                <w:szCs w:val="16"/>
              </w:rPr>
              <w:t xml:space="preserve"> </w:t>
            </w:r>
            <w:r w:rsidRPr="00C37F70">
              <w:rPr>
                <w:rFonts w:ascii="Verdana" w:hAnsi="Verdana" w:cs="TimesNewRomanPSMT"/>
                <w:sz w:val="16"/>
                <w:szCs w:val="16"/>
              </w:rPr>
              <w:t>Zieleń wysoką w pierwszej kolejności powinno się kształtować w oparciu o istniejące drzewa i krzewy.</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Ewentualna konieczna wycinka drzew powinna być ograniczona do minimum i odbywać się poza okresem</w:t>
            </w:r>
            <w:r w:rsidR="00406E45">
              <w:rPr>
                <w:rFonts w:ascii="Verdana" w:hAnsi="Verdana" w:cs="TimesNewRomanPSMT"/>
                <w:sz w:val="16"/>
                <w:szCs w:val="16"/>
              </w:rPr>
              <w:t xml:space="preserve"> </w:t>
            </w:r>
            <w:r w:rsidRPr="00C37F70">
              <w:rPr>
                <w:rFonts w:ascii="Verdana" w:hAnsi="Verdana" w:cs="TimesNewRomanPSMT"/>
                <w:sz w:val="16"/>
                <w:szCs w:val="16"/>
              </w:rPr>
              <w:t>lęgowym ptaków. Drzewa, a także krzewy, przed usunięciem powinny być zinwentaryzowane pod kątem</w:t>
            </w:r>
            <w:r w:rsidR="00406E45">
              <w:rPr>
                <w:rFonts w:ascii="Verdana" w:hAnsi="Verdana" w:cs="TimesNewRomanPSMT"/>
                <w:sz w:val="16"/>
                <w:szCs w:val="16"/>
              </w:rPr>
              <w:t xml:space="preserve"> </w:t>
            </w:r>
            <w:r w:rsidRPr="00C37F70">
              <w:rPr>
                <w:rFonts w:ascii="Verdana" w:hAnsi="Verdana" w:cs="TimesNewRomanPSMT"/>
                <w:sz w:val="16"/>
                <w:szCs w:val="16"/>
              </w:rPr>
              <w:t>występowania na nich gatunków chronionych, przede wszystkim ptaków, ssaków, owadów, a także porostów.</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9. Ustala się obowiązek wzbogacania szaty roślinnej poprzez wprowadzanie zadrzewień, grup drzew,</w:t>
            </w:r>
            <w:r w:rsidR="00406E45">
              <w:rPr>
                <w:rFonts w:ascii="Verdana" w:hAnsi="Verdana" w:cs="TimesNewRomanPSMT"/>
                <w:sz w:val="16"/>
                <w:szCs w:val="16"/>
              </w:rPr>
              <w:t xml:space="preserve"> </w:t>
            </w:r>
            <w:r w:rsidRPr="00C37F70">
              <w:rPr>
                <w:rFonts w:ascii="Verdana" w:hAnsi="Verdana" w:cs="TimesNewRomanPSMT"/>
                <w:sz w:val="16"/>
                <w:szCs w:val="16"/>
              </w:rPr>
              <w:t>krzewów i urządzenie terenów biologicznie czynnych w miejscach ogólnodostępnych, zwłaszcza wzdłuż</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istniejących i planowanych terenów drogowych, w obszarach zabudowy z funkcją mieszkaniową, a także na</w:t>
            </w:r>
            <w:r w:rsidR="00406E45">
              <w:rPr>
                <w:rFonts w:ascii="Verdana" w:hAnsi="Verdana" w:cs="TimesNewRomanPSMT"/>
                <w:sz w:val="16"/>
                <w:szCs w:val="16"/>
              </w:rPr>
              <w:t xml:space="preserve"> </w:t>
            </w:r>
            <w:r w:rsidRPr="00C37F70">
              <w:rPr>
                <w:rFonts w:ascii="Verdana" w:hAnsi="Verdana" w:cs="TimesNewRomanPSMT"/>
                <w:sz w:val="16"/>
                <w:szCs w:val="16"/>
              </w:rPr>
              <w:t>obszarach przeznaczonych dla rekreacji. Do planowanych nasadzeń należy używać gatunków roślin rodzimych,</w:t>
            </w:r>
            <w:r w:rsidR="00406E45">
              <w:rPr>
                <w:rFonts w:ascii="Verdana" w:hAnsi="Verdana" w:cs="TimesNewRomanPSMT"/>
                <w:sz w:val="16"/>
                <w:szCs w:val="16"/>
              </w:rPr>
              <w:t xml:space="preserve"> </w:t>
            </w:r>
            <w:r w:rsidRPr="00C37F70">
              <w:rPr>
                <w:rFonts w:ascii="Verdana" w:hAnsi="Verdana" w:cs="TimesNewRomanPSMT"/>
                <w:sz w:val="16"/>
                <w:szCs w:val="16"/>
              </w:rPr>
              <w:t>zgodnych siedliskowo i geograficznie.</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10. Realizacja parkingów naziemnych zawierających więcej niż 8 miejsc postojowych jest uwarunkowana</w:t>
            </w:r>
          </w:p>
          <w:p w:rsidR="00EA1C22" w:rsidRPr="00C37F70" w:rsidRDefault="00D87ABB" w:rsidP="00653B69">
            <w:pPr>
              <w:autoSpaceDE w:val="0"/>
              <w:autoSpaceDN w:val="0"/>
              <w:adjustRightInd w:val="0"/>
              <w:spacing w:after="120" w:line="240" w:lineRule="auto"/>
              <w:rPr>
                <w:rFonts w:ascii="Verdana" w:eastAsia="Times New Roman" w:hAnsi="Verdana" w:cs="Times New Roman"/>
                <w:sz w:val="16"/>
                <w:szCs w:val="16"/>
              </w:rPr>
            </w:pPr>
            <w:r w:rsidRPr="00C37F70">
              <w:rPr>
                <w:rFonts w:ascii="Verdana" w:hAnsi="Verdana" w:cs="TimesNewRomanPSMT"/>
                <w:sz w:val="16"/>
                <w:szCs w:val="16"/>
              </w:rPr>
              <w:t>wprowadzeniem zieleni (drzew i krzewów) na terenie parkingu, o powierzchni nie mniejszej niż 20% powierzchni terenu przeznaczonego dla miejsc postojowych.</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zabudowy i zagospodarowania terenu położonego na obszarach szczególnego zagrożenia powodzią</w:t>
            </w:r>
          </w:p>
        </w:tc>
        <w:tc>
          <w:tcPr>
            <w:tcW w:w="3600" w:type="dxa"/>
            <w:shd w:val="clear" w:color="auto" w:fill="auto"/>
          </w:tcPr>
          <w:p w:rsidR="00EA1C22" w:rsidRPr="001D1AE8" w:rsidRDefault="008B17A2" w:rsidP="00D80E3E">
            <w:pPr>
              <w:spacing w:beforeLines="60" w:afterLines="60" w:line="240" w:lineRule="auto"/>
              <w:rPr>
                <w:rFonts w:ascii="Verdana" w:eastAsia="Times New Roman" w:hAnsi="Verdana" w:cs="Times New Roman"/>
                <w:sz w:val="16"/>
                <w:szCs w:val="16"/>
              </w:rPr>
            </w:pPr>
            <w:r w:rsidRPr="001D1AE8">
              <w:rPr>
                <w:rFonts w:ascii="Verdana" w:hAnsi="Verdana" w:cs="TimesNewRomanPSMT"/>
                <w:sz w:val="16"/>
                <w:szCs w:val="16"/>
              </w:rPr>
              <w:t>nie ustala się</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dziedzictwa kulturowego i zabytków oraz dóbr kultury współczesnej</w:t>
            </w:r>
          </w:p>
        </w:tc>
        <w:tc>
          <w:tcPr>
            <w:tcW w:w="3600" w:type="dxa"/>
            <w:shd w:val="clear" w:color="auto" w:fill="auto"/>
          </w:tcPr>
          <w:p w:rsidR="00D87ABB" w:rsidRPr="00640106" w:rsidRDefault="00D87ABB" w:rsidP="00334BF7">
            <w:pPr>
              <w:autoSpaceDE w:val="0"/>
              <w:autoSpaceDN w:val="0"/>
              <w:adjustRightInd w:val="0"/>
              <w:spacing w:before="120" w:after="0" w:line="240" w:lineRule="auto"/>
              <w:rPr>
                <w:rFonts w:ascii="Verdana" w:hAnsi="Verdana" w:cs="TimesNewRomanPSMT"/>
                <w:sz w:val="16"/>
                <w:szCs w:val="16"/>
              </w:rPr>
            </w:pPr>
            <w:r w:rsidRPr="00640106">
              <w:rPr>
                <w:rFonts w:ascii="Verdana" w:hAnsi="Verdana" w:cs="TimesNewRomanPSMT"/>
                <w:sz w:val="16"/>
                <w:szCs w:val="16"/>
              </w:rPr>
              <w:t>Na obszarze objętym planem nie znajdują się obiekty wpisane do wojewódzkiego rejestru lub wojewódzkiej ewidencji zabytków, gminnej ewidencji zabytków, ani nie występują strefy ochrony</w:t>
            </w:r>
          </w:p>
          <w:p w:rsidR="00EA1C22" w:rsidRPr="00640106" w:rsidRDefault="00D87ABB" w:rsidP="00D80E3E">
            <w:pPr>
              <w:spacing w:afterLines="60" w:line="240" w:lineRule="auto"/>
              <w:rPr>
                <w:rFonts w:ascii="Verdana" w:eastAsia="Times New Roman" w:hAnsi="Verdana" w:cs="Times New Roman"/>
                <w:sz w:val="16"/>
                <w:szCs w:val="16"/>
              </w:rPr>
            </w:pPr>
            <w:r w:rsidRPr="00640106">
              <w:rPr>
                <w:rFonts w:ascii="Verdana" w:hAnsi="Verdana" w:cs="TimesNewRomanPSMT"/>
                <w:sz w:val="16"/>
                <w:szCs w:val="16"/>
              </w:rPr>
              <w:t>archeologiczno-konserwatorskiej.</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ochrony innych terenów lub obiektów podlegających ochronie na podstawie przepisów odrębnych</w:t>
            </w:r>
          </w:p>
        </w:tc>
        <w:tc>
          <w:tcPr>
            <w:tcW w:w="3600" w:type="dxa"/>
            <w:shd w:val="clear" w:color="auto" w:fill="auto"/>
          </w:tcPr>
          <w:p w:rsidR="00EA1C22" w:rsidRPr="001D1AE8" w:rsidRDefault="008B17A2" w:rsidP="00D80E3E">
            <w:pPr>
              <w:spacing w:beforeLines="60" w:afterLines="60" w:line="240" w:lineRule="auto"/>
              <w:rPr>
                <w:rFonts w:ascii="Verdana" w:eastAsia="Times New Roman" w:hAnsi="Verdana" w:cs="Times New Roman"/>
                <w:sz w:val="16"/>
                <w:szCs w:val="16"/>
              </w:rPr>
            </w:pPr>
            <w:r w:rsidRPr="001D1AE8">
              <w:rPr>
                <w:rFonts w:ascii="Verdana" w:hAnsi="Verdana" w:cs="TimesNewRomanPSMT"/>
                <w:sz w:val="16"/>
                <w:szCs w:val="16"/>
              </w:rPr>
              <w:t>nie ustala się</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komunikacji</w:t>
            </w:r>
          </w:p>
        </w:tc>
        <w:tc>
          <w:tcPr>
            <w:tcW w:w="3600" w:type="dxa"/>
            <w:shd w:val="clear" w:color="auto" w:fill="auto"/>
          </w:tcPr>
          <w:p w:rsidR="00D24481" w:rsidRPr="00C37F70" w:rsidRDefault="000B4F79" w:rsidP="00406E45">
            <w:pPr>
              <w:autoSpaceDE w:val="0"/>
              <w:autoSpaceDN w:val="0"/>
              <w:adjustRightInd w:val="0"/>
              <w:spacing w:before="120" w:after="0" w:line="240" w:lineRule="auto"/>
              <w:rPr>
                <w:rFonts w:ascii="Verdana" w:hAnsi="Verdana" w:cs="TimesNewRomanPSMT"/>
                <w:sz w:val="16"/>
                <w:szCs w:val="16"/>
              </w:rPr>
            </w:pPr>
            <w:r w:rsidRPr="00C37F70">
              <w:rPr>
                <w:rFonts w:ascii="Verdana" w:hAnsi="Verdana" w:cs="TimesNewRomanPSMT"/>
                <w:sz w:val="16"/>
                <w:szCs w:val="16"/>
              </w:rPr>
              <w:t>4.</w:t>
            </w:r>
            <w:r w:rsidR="008B17A2" w:rsidRPr="00C37F70">
              <w:rPr>
                <w:rFonts w:ascii="Verdana" w:hAnsi="Verdana" w:cs="TimesNewRomanPSMT"/>
                <w:sz w:val="16"/>
                <w:szCs w:val="16"/>
              </w:rPr>
              <w:t>1</w:t>
            </w:r>
            <w:r w:rsidR="000E683C" w:rsidRPr="00C37F70">
              <w:rPr>
                <w:rFonts w:ascii="Verdana" w:hAnsi="Verdana" w:cs="TimesNewRomanPSMT"/>
                <w:sz w:val="16"/>
                <w:szCs w:val="16"/>
              </w:rPr>
              <w:t>2</w:t>
            </w:r>
            <w:r w:rsidR="008B17A2" w:rsidRPr="00C37F70">
              <w:rPr>
                <w:rFonts w:ascii="Verdana" w:hAnsi="Verdana" w:cs="TimesNewRomanPSMT"/>
                <w:sz w:val="16"/>
                <w:szCs w:val="16"/>
              </w:rPr>
              <w:t>.MWn</w:t>
            </w:r>
            <w:r w:rsidR="00406E45">
              <w:rPr>
                <w:rFonts w:ascii="Verdana" w:hAnsi="Verdana" w:cs="TimesNewRomanPSMT"/>
                <w:sz w:val="16"/>
                <w:szCs w:val="16"/>
              </w:rPr>
              <w:t>:</w:t>
            </w:r>
            <w:r w:rsidR="008B17A2" w:rsidRPr="00C37F70">
              <w:rPr>
                <w:rFonts w:ascii="Verdana" w:hAnsi="Verdana" w:cs="TimesNewRomanPSMT"/>
                <w:sz w:val="16"/>
                <w:szCs w:val="16"/>
              </w:rPr>
              <w:t xml:space="preserve"> bezpośrednio z dróg 16.43.KDD, 16.44.KDD,</w:t>
            </w:r>
            <w:r w:rsidR="00406E45">
              <w:rPr>
                <w:rFonts w:ascii="Verdana" w:hAnsi="Verdana" w:cs="TimesNewRomanPSMT"/>
                <w:sz w:val="16"/>
                <w:szCs w:val="16"/>
              </w:rPr>
              <w:t xml:space="preserve"> </w:t>
            </w:r>
            <w:r w:rsidR="008B17A2" w:rsidRPr="00C37F70">
              <w:rPr>
                <w:rFonts w:ascii="Verdana" w:hAnsi="Verdana" w:cs="TimesNewRomanPSMT"/>
                <w:sz w:val="16"/>
                <w:szCs w:val="16"/>
              </w:rPr>
              <w:t>15.33.KDL i z dróg wewnętrznych powiązanych z zewnętrznym</w:t>
            </w:r>
            <w:r w:rsidR="00DC18C1" w:rsidRPr="00C37F70">
              <w:rPr>
                <w:rFonts w:ascii="Verdana" w:hAnsi="Verdana" w:cs="TimesNewRomanPSMT"/>
                <w:sz w:val="16"/>
                <w:szCs w:val="16"/>
              </w:rPr>
              <w:t xml:space="preserve"> </w:t>
            </w:r>
            <w:r w:rsidR="008B17A2" w:rsidRPr="00C37F70">
              <w:rPr>
                <w:rFonts w:ascii="Verdana" w:hAnsi="Verdana" w:cs="TimesNewRomanPSMT"/>
                <w:sz w:val="16"/>
                <w:szCs w:val="16"/>
              </w:rPr>
              <w:t>układem komunikacyjnym</w:t>
            </w:r>
            <w:r w:rsidR="00DC18C1" w:rsidRPr="00C37F70">
              <w:rPr>
                <w:rFonts w:ascii="Verdana" w:hAnsi="Verdana" w:cs="TimesNewRomanPSMT"/>
                <w:sz w:val="16"/>
                <w:szCs w:val="16"/>
              </w:rPr>
              <w:t>;</w:t>
            </w:r>
            <w:r w:rsidR="00D24481" w:rsidRPr="00C37F70">
              <w:rPr>
                <w:rFonts w:ascii="Verdana" w:hAnsi="Verdana" w:cs="TimesNewRomanPSMT"/>
                <w:sz w:val="16"/>
                <w:szCs w:val="16"/>
              </w:rPr>
              <w:t xml:space="preserve"> </w:t>
            </w:r>
          </w:p>
          <w:p w:rsidR="00DC18C1" w:rsidRPr="00C37F70" w:rsidRDefault="00DC18C1" w:rsidP="00DC18C1">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powiązanie komunikacyjne obszaru planu z układem zewnętrznym przez ulicę Kaszubską 13.31.KDG – drogę klasy głównej (droga wojewódzka DW 213) oraz projektowaną drogę zbiorczą 14.32.KDZ, stanowiącą fragment ringu miejskiego;</w:t>
            </w:r>
          </w:p>
          <w:p w:rsidR="00DC18C1" w:rsidRPr="00C37F70" w:rsidRDefault="00DC18C1" w:rsidP="00DC18C1">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teren objęty planem obsługiwany jest przez układ dróg publicznych, który tworzą:</w:t>
            </w:r>
          </w:p>
          <w:p w:rsidR="00DC18C1" w:rsidRPr="00C37F70" w:rsidRDefault="00DC18C1" w:rsidP="00406E45">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drogi klasy lokalnej - ul. Owocowa 15.34.KDL, projektowane drogi 15.33.KDL i 15.35.KDL oraz drogi klasy dojazdowej: 16.36.KDD, 16.37.KDD, 16.38.KDD, 16.39.KDD, 16.40.KDD, 16.41.KDD, 16.42.KDD,</w:t>
            </w:r>
            <w:r w:rsidR="00406E45">
              <w:rPr>
                <w:rFonts w:ascii="Verdana" w:hAnsi="Verdana" w:cs="TimesNewRomanPSMT"/>
                <w:sz w:val="16"/>
                <w:szCs w:val="16"/>
              </w:rPr>
              <w:t xml:space="preserve"> </w:t>
            </w:r>
            <w:r w:rsidRPr="00C37F70">
              <w:rPr>
                <w:rFonts w:ascii="Verdana" w:hAnsi="Verdana" w:cs="TimesNewRomanPSMT"/>
                <w:sz w:val="16"/>
                <w:szCs w:val="16"/>
              </w:rPr>
              <w:t>16.43.KDD, 16.44.KDD i 16.45.KDD;</w:t>
            </w:r>
          </w:p>
        </w:tc>
      </w:tr>
      <w:tr w:rsidR="00EA1C22" w:rsidRPr="00BC2537" w:rsidTr="001F7FC1">
        <w:trPr>
          <w:trHeight w:val="2"/>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infrastruktury technicznej</w:t>
            </w:r>
          </w:p>
        </w:tc>
        <w:tc>
          <w:tcPr>
            <w:tcW w:w="3600" w:type="dxa"/>
            <w:shd w:val="clear" w:color="auto" w:fill="auto"/>
          </w:tcPr>
          <w:p w:rsidR="00633F24" w:rsidRPr="00C37F70" w:rsidRDefault="00633F24" w:rsidP="00334BF7">
            <w:pPr>
              <w:autoSpaceDE w:val="0"/>
              <w:autoSpaceDN w:val="0"/>
              <w:adjustRightInd w:val="0"/>
              <w:spacing w:before="120" w:after="0" w:line="240" w:lineRule="auto"/>
              <w:rPr>
                <w:rFonts w:ascii="Verdana" w:hAnsi="Verdana" w:cs="TimesNewRomanPSMT"/>
                <w:sz w:val="16"/>
                <w:szCs w:val="16"/>
              </w:rPr>
            </w:pPr>
            <w:r w:rsidRPr="00C37F70">
              <w:rPr>
                <w:rFonts w:ascii="Verdana" w:hAnsi="Verdana" w:cs="TimesNewRomanPSMT"/>
                <w:sz w:val="16"/>
                <w:szCs w:val="16"/>
              </w:rPr>
              <w:t>1) adaptuje się istniejące sieci infrastruktury technicznej z możliwością ich rozbudowy, przebudowy i budowy nowych, na warunkach określonych przez zarządzających sieciami;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2) sieci infrastruktury technicznej należy, w miarę możliwości, lokalizować w liniach rozgraniczających terenów dróg i na wyznaczonych terenach infrastruktury;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3) ustalenia w zakresie zaopatrzenia w wodę:</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lastRenderedPageBreak/>
              <w:t>a) zaopatrzenie w wodę należy realizować poprzez rozbudowę istniejącego systemu wodociągowego lub z istniejących lokalnych ujęć wody,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należy zapewnić z istniejącej i projektowanej sieci wodociągowej,</w:t>
            </w:r>
          </w:p>
          <w:p w:rsidR="00633F24" w:rsidRPr="00C37F70" w:rsidRDefault="002A1D15"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xml:space="preserve">b) wodę dla celów przeciwpożarowych </w:t>
            </w:r>
            <w:r w:rsidR="00633F24" w:rsidRPr="00C37F70">
              <w:rPr>
                <w:rFonts w:ascii="Verdana" w:hAnsi="Verdana" w:cs="TimesNewRomanPSMT"/>
                <w:sz w:val="16"/>
                <w:szCs w:val="16"/>
              </w:rPr>
              <w:t>uzbrojonej w hydranty,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c) projektowane obiekty podłączyć do sieci wodociągowej na warunkach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4) ustalenia w zakresie odprowadzenia ścieków sanitarnych i przemysłowych: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odprowadzenie ścieków sanitarnych i przemysłowych z terenu objętego planem należy realizować</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systemem zbiorczej kanalizacji sanitarnej do miejskiej oczyszczalni na zasadach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do czasu wybudowania sieci kanalizacji sanitarnej dopuszcza się odprowadzenie ścieków sanitarnych do szczelnych zbiorników bezodpływowych; ustala się obowiązek odprowadzenia ścieków sanitarnych i przemysłowych do systemowej sieci kanalizacji sanitarnej po jej wybudowaniu,</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c) ścieki przemysłowe przed wprowadzeniem do miejskiej sieci kanalizacji sanitarnej należy podczyszczać stosownie do wymogów obowiązujących w tym zakresie przepisów,</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d) zabrania się odprowadzania ścieków sanitarnych i przemysłowych do gruntu i wód powierzchniowych.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5) ustalenia w zakresie odprowadzenia wód opadowych: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xml:space="preserve">a) ustala się zagospodarowanie wód opadowych i roztopowych z terenów objętych granicami opracowania w obrębie granic własnych działek; poza terenami MN dopuszcza się odprowadzenie wód opadowych do sieci kanalizacji deszczowej z wykorzystaniem zbiorników retencyjnych lub </w:t>
            </w:r>
            <w:proofErr w:type="spellStart"/>
            <w:r w:rsidRPr="00C37F70">
              <w:rPr>
                <w:rFonts w:ascii="Verdana" w:hAnsi="Verdana" w:cs="TimesNewRomanPSMT"/>
                <w:sz w:val="16"/>
                <w:szCs w:val="16"/>
              </w:rPr>
              <w:t>retencyjno-rozsączających</w:t>
            </w:r>
            <w:proofErr w:type="spellEnd"/>
            <w:r w:rsidRPr="00C37F70">
              <w:rPr>
                <w:rFonts w:ascii="Verdana" w:hAnsi="Verdana" w:cs="TimesNewRomanPSMT"/>
                <w:sz w:val="16"/>
                <w:szCs w:val="16"/>
              </w:rPr>
              <w:t>,</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na warunkach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wody opadowe i roztopowe z powierzchni komunikacji drogowej i placów utwardzonych związanych</w:t>
            </w:r>
            <w:r w:rsidR="00406E45">
              <w:rPr>
                <w:rFonts w:ascii="Verdana" w:hAnsi="Verdana" w:cs="TimesNewRomanPSMT"/>
                <w:sz w:val="16"/>
                <w:szCs w:val="16"/>
              </w:rPr>
              <w:t xml:space="preserve"> </w:t>
            </w:r>
            <w:r w:rsidRPr="00C37F70">
              <w:rPr>
                <w:rFonts w:ascii="Verdana" w:hAnsi="Verdana" w:cs="TimesNewRomanPSMT"/>
                <w:sz w:val="16"/>
                <w:szCs w:val="16"/>
              </w:rPr>
              <w:t>z obsługą transportu oraz z terenów innych powodujących zanieczyszczenie wód powierzchniowych wymagają oczyszczenia zgodnie z obowiązującymi przepisami,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c) dopuszcza się lokalizację indywidualnych systemów oczyszczania wód opadowych i roztopowych na działce inwestora,</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d) ustala się zakaz powierzchniowego odprowadzenia wód opadowych z dróg, parkingów i placów utwardzonych w sposób niezorganizowany,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e) ustala się zakaz odprowadzania wód opadowych i roztopowych do sieci kanalizacji sanitarnej,</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6) ustalenia w zakresie zaopatrzenia w ciepło:</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należy stosować centralny system grzewczy oparty o produkcję ciepła przez jednostki wyspecjalizowane,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xml:space="preserve">b) dopuszcza się stosowanie rozwiązań indywidualnych w oparciu o ekologiczne </w:t>
            </w:r>
            <w:proofErr w:type="spellStart"/>
            <w:r w:rsidRPr="00C37F70">
              <w:rPr>
                <w:rFonts w:ascii="Verdana" w:hAnsi="Verdana" w:cs="TimesNewRomanPSMT"/>
                <w:sz w:val="16"/>
                <w:szCs w:val="16"/>
              </w:rPr>
              <w:t>nieemisyjne</w:t>
            </w:r>
            <w:proofErr w:type="spellEnd"/>
            <w:r w:rsidRPr="00C37F70">
              <w:rPr>
                <w:rFonts w:ascii="Verdana" w:hAnsi="Verdana" w:cs="TimesNewRomanPSMT"/>
                <w:sz w:val="16"/>
                <w:szCs w:val="16"/>
              </w:rPr>
              <w:t xml:space="preserve"> lub niskoemisyjne czynniki grzejne np. olej opałowy, gaz, energia elektryczna, </w:t>
            </w:r>
            <w:proofErr w:type="spellStart"/>
            <w:r w:rsidRPr="00C37F70">
              <w:rPr>
                <w:rFonts w:ascii="Verdana" w:hAnsi="Verdana" w:cs="TimesNewRomanPSMT"/>
                <w:sz w:val="16"/>
                <w:szCs w:val="16"/>
              </w:rPr>
              <w:t>biopaliwa</w:t>
            </w:r>
            <w:proofErr w:type="spellEnd"/>
            <w:r w:rsidRPr="00C37F70">
              <w:rPr>
                <w:rFonts w:ascii="Verdana" w:hAnsi="Verdana" w:cs="TimesNewRomanPSMT"/>
                <w:sz w:val="16"/>
                <w:szCs w:val="16"/>
              </w:rPr>
              <w:t xml:space="preserve">, pompy cieplne. </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7) ustalenia w zakresie zaopatrzenia w energię elektryczną: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zaopatrzenie w energię elektryczną z istniejących sieci, na zasadach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na obszarze objętym planem dopuszcza się wydzielanie nowych działek na potrzeby lokalizacji stacji transformatorowych,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lastRenderedPageBreak/>
              <w:t>8) ustalenia w zakresie zaopatrzenia w gaz:</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zaopatrzenie w gaz z sieci gazowniczej na zasadach ustalonych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dla istniejących i projektowanych sieci gazowych wyznaczane są strefy (odległości), w których nie wolno wznosić obiektów budowlanych, urządzać składów i magazynów oraz podejmować działań mogących spowodować uszkodzenie gazociągu podczas jego użytkowania. W strefach tych nie mogą również rosnąć drzewa. Wymagania w zakresie stref zawarte są w odrębnych przepisach.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9) ustalenia w zakresie gospodarki odpadami: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wprowadza się obowiązek selektywnego postępowania z odpadami komunalnymi, ich wywóz przez uprawnione podmioty do miejsc odzysku oraz unieszkodliwiania, zgodnie ze wskazaniami przepisów prawa w tym zakresie,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ustala się gromadzenie odpadów innych niż komunalne, ich wywóz przez uprawnione podmioty do miejsc odzysku oraz unieszkodliwiania, zgodnie ze wskazaniami przepisów prawa w tym zakresie.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10) ustalenia w zakresie telekomunikacji: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ustala się rozwój systemów telekomunikacyjnych i teleinformatycznych przewodowych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 bezprzewodowych stosownie do wzrostu zapotrzebowania na usługi telekomunikacyjne</w:t>
            </w:r>
            <w:r w:rsidR="00406E45">
              <w:rPr>
                <w:rFonts w:ascii="Verdana" w:hAnsi="Verdana" w:cs="TimesNewRomanPSMT"/>
                <w:sz w:val="16"/>
                <w:szCs w:val="16"/>
              </w:rPr>
              <w:t xml:space="preserve"> </w:t>
            </w:r>
            <w:r w:rsidRPr="00C37F70">
              <w:rPr>
                <w:rFonts w:ascii="Verdana" w:hAnsi="Verdana" w:cs="TimesNewRomanPSMT"/>
                <w:sz w:val="16"/>
                <w:szCs w:val="16"/>
              </w:rPr>
              <w:t>i teleinformatyczne,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zakłada się zapewnienie pełnej dostępności do łączy telekomunikacyjnych.</w:t>
            </w:r>
          </w:p>
          <w:p w:rsidR="00F8188D" w:rsidRDefault="00633F24" w:rsidP="00F8188D">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infrastruktury technicznej.</w:t>
            </w:r>
            <w:r w:rsidR="00F8188D" w:rsidRPr="00C37F70">
              <w:rPr>
                <w:rFonts w:ascii="Verdana" w:hAnsi="Verdana" w:cs="TimesNewRomanPSMT"/>
                <w:sz w:val="16"/>
                <w:szCs w:val="16"/>
              </w:rPr>
              <w:t xml:space="preserve"> </w:t>
            </w:r>
          </w:p>
          <w:p w:rsidR="00EA1C22" w:rsidRPr="00F8188D" w:rsidRDefault="00F8188D" w:rsidP="00F8188D">
            <w:pPr>
              <w:autoSpaceDE w:val="0"/>
              <w:autoSpaceDN w:val="0"/>
              <w:adjustRightInd w:val="0"/>
              <w:spacing w:after="120" w:line="240" w:lineRule="auto"/>
              <w:rPr>
                <w:rFonts w:ascii="Verdana" w:hAnsi="Verdana" w:cs="TimesNewRomanPSMT"/>
                <w:sz w:val="16"/>
                <w:szCs w:val="16"/>
              </w:rPr>
            </w:pPr>
            <w:r w:rsidRPr="00C37F70">
              <w:rPr>
                <w:rFonts w:ascii="Verdana" w:hAnsi="Verdana" w:cs="TimesNewRomanPSMT"/>
                <w:sz w:val="16"/>
                <w:szCs w:val="16"/>
              </w:rPr>
              <w:t>11) należy zapewnić dojazd do urządzeń</w:t>
            </w:r>
          </w:p>
        </w:tc>
      </w:tr>
    </w:tbl>
    <w:p w:rsidR="00F5111A" w:rsidRDefault="00F5111A" w:rsidP="001C3E88">
      <w:pPr>
        <w:autoSpaceDE w:val="0"/>
        <w:autoSpaceDN w:val="0"/>
        <w:adjustRightInd w:val="0"/>
        <w:spacing w:before="120" w:after="0" w:line="240" w:lineRule="auto"/>
        <w:rPr>
          <w:rFonts w:ascii="Verdana" w:eastAsia="TimesNewRoman" w:hAnsi="Verdana" w:cs="TimesNewRoman"/>
          <w:color w:val="FF0000"/>
          <w:sz w:val="16"/>
          <w:szCs w:val="16"/>
        </w:rPr>
        <w:sectPr w:rsidR="00F5111A" w:rsidSect="001F7FC1">
          <w:footerReference w:type="first" r:id="rId8"/>
          <w:footnotePr>
            <w:numRestart w:val="eachPage"/>
          </w:footnotePr>
          <w:pgSz w:w="11906" w:h="16838" w:code="9"/>
          <w:pgMar w:top="363" w:right="851" w:bottom="363" w:left="851" w:header="0" w:footer="0" w:gutter="0"/>
          <w:cols w:space="708"/>
          <w:titlePg/>
          <w:docGrid w:linePitch="299"/>
        </w:sect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37"/>
        <w:gridCol w:w="3818"/>
        <w:gridCol w:w="3818"/>
      </w:tblGrid>
      <w:tr w:rsidR="00EA1C22" w:rsidRPr="00BC2537" w:rsidTr="00F8188D">
        <w:trPr>
          <w:trHeight w:val="16"/>
        </w:trPr>
        <w:tc>
          <w:tcPr>
            <w:tcW w:w="2958" w:type="dxa"/>
            <w:vMerge w:val="restart"/>
            <w:tcBorders>
              <w:top w:val="nil"/>
            </w:tcBorders>
            <w:shd w:val="clear" w:color="auto" w:fill="F3F3F3"/>
          </w:tcPr>
          <w:p w:rsidR="00204EA4" w:rsidRPr="00F8188D" w:rsidRDefault="00204EA4" w:rsidP="001C3E88">
            <w:pPr>
              <w:autoSpaceDE w:val="0"/>
              <w:autoSpaceDN w:val="0"/>
              <w:adjustRightInd w:val="0"/>
              <w:spacing w:before="120" w:after="0" w:line="240" w:lineRule="auto"/>
              <w:rPr>
                <w:rFonts w:ascii="Verdana" w:eastAsia="TimesNewRoman" w:hAnsi="Verdana" w:cs="TimesNewRoman"/>
                <w:sz w:val="16"/>
                <w:szCs w:val="16"/>
              </w:rPr>
            </w:pPr>
            <w:r w:rsidRPr="00F8188D">
              <w:rPr>
                <w:rFonts w:ascii="Verdana" w:eastAsia="TimesNewRoman" w:hAnsi="Verdana" w:cs="TimesNewRoman"/>
                <w:sz w:val="16"/>
                <w:szCs w:val="16"/>
              </w:rPr>
              <w:lastRenderedPageBreak/>
              <w:t>Ustalenia obowiązującego</w:t>
            </w:r>
          </w:p>
          <w:p w:rsidR="00204EA4" w:rsidRPr="00F8188D" w:rsidRDefault="00204EA4" w:rsidP="00204EA4">
            <w:pPr>
              <w:autoSpaceDE w:val="0"/>
              <w:autoSpaceDN w:val="0"/>
              <w:adjustRightInd w:val="0"/>
              <w:spacing w:after="0" w:line="240" w:lineRule="auto"/>
              <w:rPr>
                <w:rFonts w:ascii="Verdana" w:eastAsia="TimesNewRoman" w:hAnsi="Verdana" w:cs="TimesNewRoman"/>
                <w:sz w:val="16"/>
                <w:szCs w:val="16"/>
              </w:rPr>
            </w:pPr>
            <w:r w:rsidRPr="00F8188D">
              <w:rPr>
                <w:rFonts w:ascii="Verdana" w:eastAsia="TimesNewRoman" w:hAnsi="Verdana" w:cs="TimesNewRoman"/>
                <w:sz w:val="16"/>
                <w:szCs w:val="16"/>
              </w:rPr>
              <w:t>miejscowego planu</w:t>
            </w:r>
          </w:p>
          <w:p w:rsidR="00204EA4" w:rsidRPr="00F8188D" w:rsidRDefault="00204EA4" w:rsidP="00204EA4">
            <w:pPr>
              <w:autoSpaceDE w:val="0"/>
              <w:autoSpaceDN w:val="0"/>
              <w:adjustRightInd w:val="0"/>
              <w:spacing w:after="0" w:line="240" w:lineRule="auto"/>
              <w:rPr>
                <w:rFonts w:ascii="Verdana" w:eastAsia="TimesNewRoman" w:hAnsi="Verdana" w:cs="TimesNewRoman"/>
                <w:sz w:val="16"/>
                <w:szCs w:val="16"/>
              </w:rPr>
            </w:pPr>
            <w:r w:rsidRPr="00F8188D">
              <w:rPr>
                <w:rFonts w:ascii="Verdana" w:eastAsia="TimesNewRoman" w:hAnsi="Verdana" w:cs="TimesNewRoman"/>
                <w:sz w:val="16"/>
                <w:szCs w:val="16"/>
              </w:rPr>
              <w:t>zagospodarowania przestrzennego</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dla działek lub ich fragmentów,</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znajdujących się w odległości</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do 100 m od granicy terenu</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objętego przedsięwzięciem</w:t>
            </w:r>
          </w:p>
          <w:p w:rsidR="00EA1C22" w:rsidRPr="00BC2537" w:rsidRDefault="00204EA4" w:rsidP="00F5111A">
            <w:pPr>
              <w:autoSpaceDE w:val="0"/>
              <w:autoSpaceDN w:val="0"/>
              <w:adjustRightInd w:val="0"/>
              <w:spacing w:after="0" w:line="240" w:lineRule="auto"/>
              <w:rPr>
                <w:rFonts w:ascii="Verdana" w:eastAsia="Times New Roman" w:hAnsi="Verdana" w:cs="Times New Roman"/>
                <w:sz w:val="16"/>
                <w:szCs w:val="16"/>
              </w:rPr>
            </w:pPr>
            <w:r w:rsidRPr="00F8188D">
              <w:rPr>
                <w:rFonts w:ascii="Verdana" w:eastAsia="TimesNewRoman" w:hAnsi="Verdana" w:cs="TimesNewRoman"/>
                <w:sz w:val="16"/>
                <w:szCs w:val="16"/>
              </w:rPr>
              <w:t>deweloperskim lub zadaniem</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inwestycyjnym</w:t>
            </w:r>
            <w:r w:rsidR="00F5111A" w:rsidRPr="00F8188D">
              <w:rPr>
                <w:rStyle w:val="Odwoanieprzypisudolnego"/>
                <w:rFonts w:ascii="Verdana" w:eastAsia="TimesNewRoman" w:hAnsi="Verdana"/>
                <w:sz w:val="16"/>
                <w:szCs w:val="16"/>
              </w:rPr>
              <w:footnoteReference w:id="5"/>
            </w:r>
            <w:r w:rsidRPr="00F8188D">
              <w:rPr>
                <w:rFonts w:ascii="Verdana" w:eastAsia="TimesNewRoman" w:hAnsi="Verdana" w:cs="Times"/>
                <w:sz w:val="16"/>
                <w:szCs w:val="16"/>
                <w:vertAlign w:val="superscript"/>
              </w:rPr>
              <w:t>)</w:t>
            </w:r>
          </w:p>
        </w:tc>
        <w:tc>
          <w:tcPr>
            <w:tcW w:w="3600" w:type="dxa"/>
            <w:tcBorders>
              <w:top w:val="nil"/>
            </w:tcBorders>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Przeznaczenie terenu</w:t>
            </w:r>
          </w:p>
        </w:tc>
        <w:tc>
          <w:tcPr>
            <w:tcW w:w="3600" w:type="dxa"/>
            <w:tcBorders>
              <w:top w:val="nil"/>
            </w:tcBorders>
            <w:shd w:val="clear" w:color="auto" w:fill="auto"/>
          </w:tcPr>
          <w:p w:rsidR="000B4F79" w:rsidRPr="00C37F70" w:rsidRDefault="000E683C" w:rsidP="00334BF7">
            <w:pPr>
              <w:spacing w:before="120" w:after="120" w:line="240" w:lineRule="auto"/>
              <w:rPr>
                <w:rFonts w:ascii="Verdana" w:hAnsi="Verdana"/>
                <w:b/>
                <w:sz w:val="16"/>
                <w:szCs w:val="16"/>
              </w:rPr>
            </w:pPr>
            <w:r w:rsidRPr="00C37F70">
              <w:rPr>
                <w:rFonts w:ascii="Verdana" w:eastAsia="Times New Roman" w:hAnsi="Verdana" w:cs="Times New Roman"/>
                <w:b/>
                <w:sz w:val="16"/>
                <w:szCs w:val="16"/>
              </w:rPr>
              <w:t>p</w:t>
            </w:r>
            <w:r w:rsidR="000B4F79" w:rsidRPr="00C37F70">
              <w:rPr>
                <w:rFonts w:ascii="Verdana" w:eastAsia="Times New Roman" w:hAnsi="Verdana" w:cs="Times New Roman"/>
                <w:b/>
                <w:sz w:val="16"/>
                <w:szCs w:val="16"/>
              </w:rPr>
              <w:t xml:space="preserve">lan nr 153; </w:t>
            </w:r>
            <w:r w:rsidR="000B4F79" w:rsidRPr="00C37F70">
              <w:rPr>
                <w:rFonts w:ascii="Verdana" w:hAnsi="Verdana"/>
                <w:b/>
                <w:sz w:val="16"/>
                <w:szCs w:val="16"/>
              </w:rPr>
              <w:t>LIII/738/18 z dnia 27.06</w:t>
            </w:r>
            <w:r w:rsidRPr="00C37F70">
              <w:rPr>
                <w:rFonts w:ascii="Verdana" w:hAnsi="Verdana"/>
                <w:b/>
                <w:sz w:val="16"/>
                <w:szCs w:val="16"/>
              </w:rPr>
              <w:t xml:space="preserve"> 2018</w:t>
            </w:r>
            <w:r w:rsidR="000B4F79" w:rsidRPr="00C37F70">
              <w:rPr>
                <w:rFonts w:ascii="Verdana" w:hAnsi="Verdana"/>
                <w:b/>
                <w:sz w:val="16"/>
                <w:szCs w:val="16"/>
              </w:rPr>
              <w:t>r.</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jednorodzinnej</w:t>
            </w:r>
          </w:p>
          <w:p w:rsidR="00825F0E" w:rsidRPr="00C37F70" w:rsidRDefault="00850FD4" w:rsidP="00825F0E">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2.7MN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jednorodzinnej</w:t>
            </w:r>
          </w:p>
          <w:p w:rsidR="00825F0E" w:rsidRPr="00C37F70" w:rsidRDefault="00850FD4" w:rsidP="00825F0E">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3.6MN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jednorodzinnej</w:t>
            </w:r>
          </w:p>
          <w:p w:rsidR="000E683C" w:rsidRPr="00C37F70" w:rsidRDefault="000E683C" w:rsidP="00825F0E">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wielorodzinnej o niskiej intensywności</w:t>
            </w:r>
          </w:p>
          <w:p w:rsidR="00825F0E" w:rsidRPr="00C37F70" w:rsidRDefault="0012575B" w:rsidP="00825F0E">
            <w:pPr>
              <w:autoSpaceDE w:val="0"/>
              <w:autoSpaceDN w:val="0"/>
              <w:adjustRightInd w:val="0"/>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4.11.MWn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wielorodzinnej o niskiej</w:t>
            </w:r>
          </w:p>
          <w:p w:rsidR="00EA1C22" w:rsidRPr="00C37F70" w:rsidRDefault="00825F0E" w:rsidP="00825F0E">
            <w:pPr>
              <w:spacing w:after="0" w:line="240" w:lineRule="auto"/>
              <w:rPr>
                <w:rFonts w:ascii="Verdana" w:eastAsia="Times New Roman" w:hAnsi="Verdana" w:cs="Times New Roman"/>
                <w:sz w:val="16"/>
                <w:szCs w:val="16"/>
              </w:rPr>
            </w:pPr>
            <w:r w:rsidRPr="00C37F70">
              <w:rPr>
                <w:rFonts w:ascii="Verdana" w:hAnsi="Verdana" w:cs="TimesNewRomanPS-BoldMT"/>
                <w:bCs/>
                <w:sz w:val="16"/>
                <w:szCs w:val="16"/>
              </w:rPr>
              <w:t>intensywności</w:t>
            </w:r>
          </w:p>
          <w:p w:rsidR="0026270D" w:rsidRPr="00C37F70" w:rsidRDefault="000E683C" w:rsidP="0026270D">
            <w:pPr>
              <w:autoSpaceDE w:val="0"/>
              <w:autoSpaceDN w:val="0"/>
              <w:adjustRightInd w:val="0"/>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4.12</w:t>
            </w:r>
            <w:r w:rsidR="00825F0E" w:rsidRPr="00C37F70">
              <w:rPr>
                <w:rFonts w:ascii="Verdana" w:eastAsia="Times New Roman" w:hAnsi="Verdana" w:cs="Times New Roman"/>
                <w:sz w:val="16"/>
                <w:szCs w:val="16"/>
              </w:rPr>
              <w:t>a</w:t>
            </w:r>
            <w:r w:rsidRPr="00C37F70">
              <w:rPr>
                <w:rFonts w:ascii="Verdana" w:eastAsia="Times New Roman" w:hAnsi="Verdana" w:cs="Times New Roman"/>
                <w:sz w:val="16"/>
                <w:szCs w:val="16"/>
              </w:rPr>
              <w:t>.MWn</w:t>
            </w:r>
            <w:r w:rsidR="00DE23F2" w:rsidRPr="00C37F70">
              <w:rPr>
                <w:rFonts w:ascii="Verdana" w:eastAsia="Times New Roman" w:hAnsi="Verdana" w:cs="Times New Roman"/>
                <w:sz w:val="16"/>
                <w:szCs w:val="16"/>
              </w:rPr>
              <w:t xml:space="preserve"> </w:t>
            </w:r>
            <w:r w:rsidR="0026270D" w:rsidRPr="00C37F70">
              <w:rPr>
                <w:rFonts w:ascii="Verdana" w:hAnsi="Verdana" w:cs="TimesNewRomanPS-BoldMT"/>
                <w:bCs/>
                <w:sz w:val="16"/>
                <w:szCs w:val="16"/>
              </w:rPr>
              <w:t>tereny zabudowy mieszkaniowej wielorodzinnej o niskiej</w:t>
            </w:r>
          </w:p>
          <w:p w:rsidR="00850FD4" w:rsidRPr="00C37F70" w:rsidRDefault="0026270D" w:rsidP="0026270D">
            <w:pPr>
              <w:spacing w:after="0" w:line="240" w:lineRule="auto"/>
              <w:rPr>
                <w:rFonts w:ascii="Verdana" w:eastAsia="Times New Roman" w:hAnsi="Verdana" w:cs="Times New Roman"/>
                <w:sz w:val="16"/>
                <w:szCs w:val="16"/>
              </w:rPr>
            </w:pPr>
            <w:r w:rsidRPr="00C37F70">
              <w:rPr>
                <w:rFonts w:ascii="Verdana" w:hAnsi="Verdana" w:cs="TimesNewRomanPS-BoldMT"/>
                <w:bCs/>
                <w:sz w:val="16"/>
                <w:szCs w:val="16"/>
              </w:rPr>
              <w:t>intensywności</w:t>
            </w:r>
          </w:p>
          <w:p w:rsidR="005B1A9B" w:rsidRPr="00C37F70" w:rsidRDefault="00850FD4" w:rsidP="005B1A9B">
            <w:pPr>
              <w:autoSpaceDE w:val="0"/>
              <w:autoSpaceDN w:val="0"/>
              <w:adjustRightInd w:val="0"/>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16.40.KDD</w:t>
            </w:r>
            <w:r w:rsidR="00B54D2E"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dojazdowych</w:t>
            </w:r>
          </w:p>
          <w:p w:rsidR="0026270D" w:rsidRPr="00C37F70" w:rsidRDefault="0026270D" w:rsidP="005B1A9B">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16.42.KDD</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dojazdowych</w:t>
            </w:r>
          </w:p>
          <w:p w:rsidR="00850FD4" w:rsidRPr="00C37F70" w:rsidRDefault="00850FD4" w:rsidP="005B1A9B">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16.43.KDD</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dojazdowych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wewnętrznych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17.49.KDW</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wewnętrznych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17.53.KDW</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wewnętrznych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lokalnych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5B1A9B" w:rsidRPr="00C37F70">
              <w:rPr>
                <w:rFonts w:ascii="Verdana" w:eastAsia="Times New Roman" w:hAnsi="Verdana" w:cs="Times New Roman"/>
                <w:sz w:val="16"/>
                <w:szCs w:val="16"/>
              </w:rPr>
              <w:t xml:space="preserve"> </w:t>
            </w:r>
            <w:r w:rsidR="005B1A9B" w:rsidRPr="00C37F70">
              <w:rPr>
                <w:rFonts w:ascii="Verdana" w:hAnsi="Verdana" w:cs="TimesNewRomanPSMT"/>
                <w:sz w:val="16"/>
                <w:szCs w:val="16"/>
              </w:rPr>
              <w:t xml:space="preserve">tereny dróg publicznych </w:t>
            </w:r>
            <w:r w:rsidR="005B1A9B" w:rsidRPr="00C37F70">
              <w:rPr>
                <w:rFonts w:ascii="Verdana" w:hAnsi="Verdana" w:cs="TimesNewRomanPS-BoldMT"/>
                <w:bCs/>
                <w:sz w:val="16"/>
                <w:szCs w:val="16"/>
              </w:rPr>
              <w:t xml:space="preserve">- </w:t>
            </w:r>
            <w:r w:rsidR="005B1A9B" w:rsidRPr="00C37F70">
              <w:rPr>
                <w:rFonts w:ascii="Verdana" w:hAnsi="Verdana" w:cs="TimesNewRomanPSMT"/>
                <w:sz w:val="16"/>
                <w:szCs w:val="16"/>
              </w:rPr>
              <w:t>zbiorczych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zieleni urządzonej</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8.19.ZP</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zieleni urządzonej</w:t>
            </w:r>
          </w:p>
          <w:p w:rsidR="000E683C" w:rsidRPr="00C37F70" w:rsidRDefault="000E683C" w:rsidP="000E683C">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6F6DC0" w:rsidRPr="00C37F70" w:rsidRDefault="006F6DC0" w:rsidP="006F6DC0">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01.30.MN</w:t>
            </w:r>
            <w:r w:rsidR="001354DB" w:rsidRPr="00C37F70">
              <w:rPr>
                <w:rFonts w:ascii="Verdana" w:eastAsia="Times New Roman" w:hAnsi="Verdana" w:cs="Times New Roman"/>
                <w:sz w:val="16"/>
                <w:szCs w:val="16"/>
              </w:rPr>
              <w:t xml:space="preserve"> </w:t>
            </w:r>
            <w:r w:rsidR="001354DB" w:rsidRPr="00C37F70">
              <w:rPr>
                <w:rFonts w:ascii="Verdana" w:hAnsi="Verdana" w:cs="TimesNewRomanPS-BoldMT"/>
                <w:bCs/>
                <w:sz w:val="16"/>
                <w:szCs w:val="16"/>
              </w:rPr>
              <w:t>tereny mieszkaniowe jednorodzinne</w:t>
            </w:r>
          </w:p>
          <w:p w:rsidR="006F6DC0" w:rsidRPr="00C37F70" w:rsidRDefault="006F6DC0" w:rsidP="006F6DC0">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01.46.MN</w:t>
            </w:r>
            <w:r w:rsidR="001354DB" w:rsidRPr="00C37F70">
              <w:rPr>
                <w:rFonts w:ascii="Verdana" w:eastAsia="Times New Roman" w:hAnsi="Verdana" w:cs="Times New Roman"/>
                <w:sz w:val="16"/>
                <w:szCs w:val="16"/>
              </w:rPr>
              <w:t xml:space="preserve"> </w:t>
            </w:r>
            <w:r w:rsidR="001354DB" w:rsidRPr="00C37F70">
              <w:rPr>
                <w:rFonts w:ascii="Verdana" w:hAnsi="Verdana" w:cs="TimesNewRomanPS-BoldMT"/>
                <w:bCs/>
                <w:sz w:val="16"/>
                <w:szCs w:val="16"/>
              </w:rPr>
              <w:t>tereny mieszkaniowe jednorodzinne</w:t>
            </w:r>
          </w:p>
          <w:p w:rsidR="000E683C" w:rsidRPr="00C37F70" w:rsidRDefault="000E683C" w:rsidP="006F6DC0">
            <w:pPr>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12.47.KDD</w:t>
            </w:r>
            <w:r w:rsidR="003B347D" w:rsidRPr="00C37F70">
              <w:rPr>
                <w:rFonts w:ascii="Verdana" w:eastAsia="Times New Roman" w:hAnsi="Verdana" w:cs="Times New Roman"/>
                <w:sz w:val="16"/>
                <w:szCs w:val="16"/>
              </w:rPr>
              <w:t xml:space="preserve"> </w:t>
            </w:r>
            <w:r w:rsidR="003B347D" w:rsidRPr="00C37F70">
              <w:rPr>
                <w:rFonts w:ascii="Verdana" w:hAnsi="Verdana" w:cs="TimesNewRomanPS-BoldMT"/>
                <w:bCs/>
                <w:sz w:val="16"/>
                <w:szCs w:val="16"/>
              </w:rPr>
              <w:t>tereny dróg publicznych – dojazdowych</w:t>
            </w:r>
          </w:p>
          <w:p w:rsidR="006F6DC0" w:rsidRPr="00C37F70" w:rsidRDefault="006F6DC0" w:rsidP="006F6DC0">
            <w:pPr>
              <w:spacing w:after="0" w:line="240" w:lineRule="auto"/>
              <w:rPr>
                <w:rFonts w:ascii="Verdana" w:eastAsia="Times New Roman" w:hAnsi="Verdana" w:cs="Times New Roman"/>
                <w:sz w:val="16"/>
                <w:szCs w:val="16"/>
              </w:rPr>
            </w:pPr>
            <w:r w:rsidRPr="00C37F70">
              <w:rPr>
                <w:rFonts w:ascii="Verdana" w:hAnsi="Verdana" w:cs="TimesNewRomanPS-BoldMT"/>
                <w:bCs/>
                <w:sz w:val="16"/>
                <w:szCs w:val="16"/>
              </w:rPr>
              <w:lastRenderedPageBreak/>
              <w:t xml:space="preserve">09.37.KDZ </w:t>
            </w:r>
            <w:r w:rsidRPr="00C37F70">
              <w:rPr>
                <w:rFonts w:ascii="Verdana" w:hAnsi="Verdana" w:cs="TimesNewRomanPSMT"/>
                <w:sz w:val="16"/>
                <w:szCs w:val="16"/>
              </w:rPr>
              <w:t xml:space="preserve">tereny dróg publicznych </w:t>
            </w:r>
            <w:r w:rsidRPr="00C37F70">
              <w:rPr>
                <w:rFonts w:ascii="Verdana" w:hAnsi="Verdana" w:cs="TimesNewRomanPS-BoldMT"/>
                <w:bCs/>
                <w:sz w:val="16"/>
                <w:szCs w:val="16"/>
              </w:rPr>
              <w:t xml:space="preserve">- </w:t>
            </w:r>
            <w:r w:rsidRPr="00C37F70">
              <w:rPr>
                <w:rFonts w:ascii="Verdana" w:hAnsi="Verdana" w:cs="TimesNewRomanPSMT"/>
                <w:sz w:val="16"/>
                <w:szCs w:val="16"/>
              </w:rPr>
              <w:t>zbiorczych</w:t>
            </w:r>
          </w:p>
          <w:p w:rsidR="000E683C" w:rsidRPr="00C37F70" w:rsidRDefault="003575AC" w:rsidP="00F8188D">
            <w:pPr>
              <w:spacing w:before="120" w:after="120" w:line="240" w:lineRule="auto"/>
              <w:jc w:val="center"/>
              <w:rPr>
                <w:rFonts w:ascii="Verdana" w:eastAsia="Times New Roman" w:hAnsi="Verdana" w:cs="Times New Roman"/>
                <w:b/>
                <w:sz w:val="16"/>
                <w:szCs w:val="16"/>
              </w:rPr>
            </w:pPr>
            <w:r w:rsidRPr="00C37F70">
              <w:rPr>
                <w:rFonts w:ascii="Verdana" w:eastAsia="Times New Roman" w:hAnsi="Verdana" w:cs="Times New Roman"/>
                <w:b/>
                <w:sz w:val="16"/>
                <w:szCs w:val="16"/>
              </w:rPr>
              <w:t>p</w:t>
            </w:r>
            <w:r w:rsidR="000E683C" w:rsidRPr="00C37F70">
              <w:rPr>
                <w:rFonts w:ascii="Verdana" w:eastAsia="Times New Roman" w:hAnsi="Verdana" w:cs="Times New Roman"/>
                <w:b/>
                <w:sz w:val="16"/>
                <w:szCs w:val="16"/>
              </w:rPr>
              <w:t>lan</w:t>
            </w:r>
            <w:r w:rsidRPr="00C37F70">
              <w:rPr>
                <w:rFonts w:ascii="Verdana" w:eastAsia="Times New Roman" w:hAnsi="Verdana" w:cs="Times New Roman"/>
                <w:b/>
                <w:sz w:val="16"/>
                <w:szCs w:val="16"/>
              </w:rPr>
              <w:t xml:space="preserve"> nr 15; XXXVIII/574/09</w:t>
            </w:r>
            <w:r w:rsidR="000E683C" w:rsidRPr="00C37F70">
              <w:rPr>
                <w:rFonts w:ascii="Verdana" w:eastAsia="Times New Roman" w:hAnsi="Verdana" w:cs="Times New Roman"/>
                <w:b/>
                <w:sz w:val="16"/>
                <w:szCs w:val="16"/>
              </w:rPr>
              <w:t xml:space="preserve"> </w:t>
            </w:r>
            <w:r w:rsidRPr="00C37F70">
              <w:rPr>
                <w:rFonts w:ascii="Verdana" w:eastAsia="Times New Roman" w:hAnsi="Verdana" w:cs="Times New Roman"/>
                <w:b/>
                <w:sz w:val="16"/>
                <w:szCs w:val="16"/>
              </w:rPr>
              <w:t>z dnia 27.05.2009r.</w:t>
            </w:r>
          </w:p>
          <w:p w:rsidR="003575AC" w:rsidRPr="00C37F70" w:rsidRDefault="003575AC" w:rsidP="00653B69">
            <w:pPr>
              <w:autoSpaceDE w:val="0"/>
              <w:autoSpaceDN w:val="0"/>
              <w:adjustRightInd w:val="0"/>
              <w:spacing w:after="120" w:line="240" w:lineRule="auto"/>
              <w:rPr>
                <w:rFonts w:ascii="Verdana" w:hAnsi="Verdana"/>
                <w:sz w:val="16"/>
                <w:szCs w:val="16"/>
              </w:rPr>
            </w:pPr>
            <w:r w:rsidRPr="00C37F70">
              <w:rPr>
                <w:rFonts w:ascii="Verdana" w:eastAsia="Times New Roman" w:hAnsi="Verdana" w:cs="Times New Roman"/>
                <w:sz w:val="16"/>
                <w:szCs w:val="16"/>
              </w:rPr>
              <w:t>28.MN</w:t>
            </w:r>
            <w:r w:rsidR="005A0DDA" w:rsidRPr="00C37F70">
              <w:rPr>
                <w:rFonts w:ascii="Verdana" w:eastAsia="Times New Roman" w:hAnsi="Verdana" w:cs="Times New Roman"/>
                <w:sz w:val="16"/>
                <w:szCs w:val="16"/>
              </w:rPr>
              <w:t xml:space="preserve">; 29.MN </w:t>
            </w:r>
            <w:r w:rsidR="001354DB" w:rsidRPr="00C37F70">
              <w:rPr>
                <w:rFonts w:ascii="Verdana" w:eastAsia="Times New Roman" w:hAnsi="Verdana" w:cs="Times New Roman"/>
                <w:sz w:val="16"/>
                <w:szCs w:val="16"/>
              </w:rPr>
              <w:t xml:space="preserve"> </w:t>
            </w:r>
            <w:r w:rsidR="001354DB" w:rsidRPr="00C37F70">
              <w:rPr>
                <w:rFonts w:ascii="Verdana" w:hAnsi="Verdana" w:cs="Arial"/>
                <w:bCs/>
                <w:sz w:val="16"/>
                <w:szCs w:val="16"/>
              </w:rPr>
              <w:t>tereny zabudowy mieszkaniowej</w:t>
            </w:r>
            <w:r w:rsidR="005A0DDA" w:rsidRPr="00C37F70">
              <w:rPr>
                <w:rFonts w:ascii="Verdana" w:hAnsi="Verdana" w:cs="Arial"/>
                <w:bCs/>
                <w:sz w:val="16"/>
                <w:szCs w:val="16"/>
              </w:rPr>
              <w:t xml:space="preserve"> </w:t>
            </w:r>
            <w:r w:rsidR="001354DB" w:rsidRPr="00C37F70">
              <w:rPr>
                <w:rFonts w:ascii="Verdana" w:hAnsi="Verdana" w:cs="Arial"/>
                <w:bCs/>
                <w:sz w:val="16"/>
                <w:szCs w:val="16"/>
              </w:rPr>
              <w:t>jednorodzinnej</w:t>
            </w:r>
          </w:p>
        </w:tc>
      </w:tr>
      <w:tr w:rsidR="00EA1C22" w:rsidRPr="00DE23F2" w:rsidTr="001F7FC1">
        <w:trPr>
          <w:trHeight w:val="16"/>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F8188D" w:rsidRDefault="00EA1C22" w:rsidP="00D80E3E">
            <w:pPr>
              <w:spacing w:beforeLines="60" w:afterLines="60" w:line="240" w:lineRule="auto"/>
              <w:rPr>
                <w:rFonts w:ascii="Verdana" w:eastAsia="Times New Roman" w:hAnsi="Verdana" w:cs="Times New Roman"/>
                <w:sz w:val="16"/>
                <w:szCs w:val="16"/>
              </w:rPr>
            </w:pPr>
            <w:r w:rsidRPr="00F8188D">
              <w:rPr>
                <w:rFonts w:ascii="Verdana" w:eastAsia="Times New Roman" w:hAnsi="Verdana" w:cs="Times New Roman"/>
                <w:sz w:val="16"/>
                <w:szCs w:val="16"/>
                <w:lang w:eastAsia="pl-PL"/>
              </w:rPr>
              <w:t>Maksymalna intensywność zabudowy</w:t>
            </w:r>
          </w:p>
        </w:tc>
        <w:tc>
          <w:tcPr>
            <w:tcW w:w="3600" w:type="dxa"/>
            <w:shd w:val="clear" w:color="auto" w:fill="auto"/>
          </w:tcPr>
          <w:p w:rsidR="001E2DE3" w:rsidRPr="00F8188D" w:rsidRDefault="001E2DE3" w:rsidP="00932C5A">
            <w:pPr>
              <w:spacing w:before="120" w:after="120" w:line="240" w:lineRule="auto"/>
              <w:rPr>
                <w:rFonts w:ascii="Verdana" w:hAnsi="Verdana"/>
                <w:b/>
                <w:sz w:val="16"/>
                <w:szCs w:val="16"/>
              </w:rPr>
            </w:pPr>
            <w:r w:rsidRPr="00F8188D">
              <w:rPr>
                <w:rFonts w:ascii="Verdana" w:eastAsia="Times New Roman" w:hAnsi="Verdana" w:cs="Times New Roman"/>
                <w:b/>
                <w:sz w:val="16"/>
                <w:szCs w:val="16"/>
              </w:rPr>
              <w:t xml:space="preserve">plan nr 153; </w:t>
            </w:r>
            <w:r w:rsidRPr="00F8188D">
              <w:rPr>
                <w:rFonts w:ascii="Verdana" w:hAnsi="Verdana"/>
                <w:b/>
                <w:sz w:val="16"/>
                <w:szCs w:val="16"/>
              </w:rPr>
              <w:t>LIII/738/18 z dnia 27.06 2018r.</w:t>
            </w:r>
          </w:p>
          <w:p w:rsidR="003D3786" w:rsidRPr="00F8188D" w:rsidRDefault="00E33669" w:rsidP="003D3786">
            <w:pPr>
              <w:autoSpaceDE w:val="0"/>
              <w:autoSpaceDN w:val="0"/>
              <w:adjustRightInd w:val="0"/>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2.4MN</w:t>
            </w:r>
            <w:r w:rsidR="003D3786"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2.7MN</w:t>
            </w:r>
            <w:r w:rsidR="00F8188D" w:rsidRPr="00F8188D">
              <w:rPr>
                <w:rFonts w:ascii="Verdana" w:eastAsia="Times New Roman" w:hAnsi="Verdana" w:cs="Times New Roman"/>
                <w:sz w:val="16"/>
                <w:szCs w:val="16"/>
              </w:rPr>
              <w:t>:</w:t>
            </w:r>
          </w:p>
          <w:p w:rsidR="003D3786" w:rsidRPr="00F8188D" w:rsidRDefault="00932C5A" w:rsidP="003D3786">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30% dla zabudowy wolnostojącej,</w:t>
            </w:r>
          </w:p>
          <w:p w:rsidR="00E33669" w:rsidRPr="00F8188D" w:rsidRDefault="00932C5A" w:rsidP="003D3786">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40% dla zabudowy bliźniaczej i szeregowej</w:t>
            </w:r>
          </w:p>
          <w:p w:rsidR="00F8188D" w:rsidRPr="00F8188D" w:rsidRDefault="00E33669" w:rsidP="00E33669">
            <w:pPr>
              <w:spacing w:after="0" w:line="240" w:lineRule="auto"/>
              <w:rPr>
                <w:rFonts w:ascii="Verdana" w:hAnsi="Verdana" w:cs="TimesNewRomanPSMT"/>
                <w:sz w:val="16"/>
                <w:szCs w:val="16"/>
              </w:rPr>
            </w:pPr>
            <w:r w:rsidRPr="00F8188D">
              <w:rPr>
                <w:rFonts w:ascii="Verdana" w:eastAsia="Times New Roman" w:hAnsi="Verdana" w:cs="Times New Roman"/>
                <w:sz w:val="16"/>
                <w:szCs w:val="16"/>
              </w:rPr>
              <w:t>3.6MN</w:t>
            </w:r>
            <w:r w:rsidR="00F8188D" w:rsidRPr="00F8188D">
              <w:rPr>
                <w:rFonts w:ascii="Verdana" w:eastAsia="Times New Roman" w:hAnsi="Verdana" w:cs="Times New Roman"/>
                <w:sz w:val="16"/>
                <w:szCs w:val="16"/>
              </w:rPr>
              <w:t xml:space="preserve">: </w:t>
            </w:r>
            <w:r w:rsidR="00932C5A" w:rsidRPr="00F8188D">
              <w:rPr>
                <w:rFonts w:ascii="Verdana" w:hAnsi="Verdana" w:cs="TimesNewRomanPSMT"/>
                <w:sz w:val="16"/>
                <w:szCs w:val="16"/>
              </w:rPr>
              <w:t xml:space="preserve"> </w:t>
            </w:r>
          </w:p>
          <w:p w:rsidR="003D3786" w:rsidRPr="00F8188D" w:rsidRDefault="00F8188D" w:rsidP="00E33669">
            <w:pPr>
              <w:spacing w:after="0" w:line="240" w:lineRule="auto"/>
              <w:rPr>
                <w:rFonts w:ascii="Verdana" w:eastAsia="Times New Roman" w:hAnsi="Verdana" w:cs="Times New Roman"/>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30%</w:t>
            </w:r>
          </w:p>
          <w:p w:rsidR="00E33669" w:rsidRPr="00F8188D" w:rsidRDefault="00E33669" w:rsidP="003D3786">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4.10.MWn</w:t>
            </w:r>
            <w:r w:rsidR="003D3786" w:rsidRPr="00F8188D">
              <w:rPr>
                <w:rFonts w:ascii="Verdana" w:eastAsia="Times New Roman" w:hAnsi="Verdana" w:cs="Times New Roman"/>
                <w:sz w:val="16"/>
                <w:szCs w:val="16"/>
              </w:rPr>
              <w:t>; 4.11.MWn; 4.12a.MWn</w:t>
            </w:r>
            <w:r w:rsidR="00F8188D" w:rsidRPr="00F8188D">
              <w:rPr>
                <w:rFonts w:ascii="Verdana" w:eastAsia="Times New Roman" w:hAnsi="Verdana" w:cs="Times New Roman"/>
                <w:sz w:val="16"/>
                <w:szCs w:val="16"/>
              </w:rPr>
              <w:t>:</w:t>
            </w:r>
          </w:p>
          <w:p w:rsidR="003D3786" w:rsidRPr="00F8188D" w:rsidRDefault="00932C5A" w:rsidP="003D3786">
            <w:pPr>
              <w:spacing w:after="0" w:line="240" w:lineRule="auto"/>
              <w:rPr>
                <w:rFonts w:ascii="Verdana" w:eastAsia="Times New Roman" w:hAnsi="Verdana" w:cs="Times New Roman"/>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30%</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16.40.KDD</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16.42.KDD</w:t>
            </w:r>
            <w:r w:rsidR="005D128A" w:rsidRPr="00F8188D">
              <w:rPr>
                <w:rFonts w:ascii="Verdana" w:eastAsia="Times New Roman" w:hAnsi="Verdana" w:cs="Times New Roman"/>
                <w:sz w:val="16"/>
                <w:szCs w:val="16"/>
              </w:rPr>
              <w:t>;</w:t>
            </w:r>
            <w:r w:rsidRPr="00F8188D">
              <w:rPr>
                <w:rFonts w:ascii="Verdana" w:eastAsia="Times New Roman" w:hAnsi="Verdana" w:cs="Times New Roman"/>
                <w:sz w:val="16"/>
                <w:szCs w:val="16"/>
              </w:rPr>
              <w:t>16.43.KDD</w:t>
            </w:r>
            <w:r w:rsidR="005D128A" w:rsidRPr="00F8188D">
              <w:rPr>
                <w:rFonts w:ascii="Verdana" w:eastAsia="Times New Roman" w:hAnsi="Verdana" w:cs="Times New Roman"/>
                <w:sz w:val="16"/>
                <w:szCs w:val="16"/>
              </w:rPr>
              <w:t>;</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17.47.KDW</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17.49.KDW</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17.53.KDW</w:t>
            </w:r>
            <w:r w:rsidR="005D128A" w:rsidRPr="00F8188D">
              <w:rPr>
                <w:rFonts w:ascii="Verdana" w:eastAsia="Times New Roman" w:hAnsi="Verdana" w:cs="Times New Roman"/>
                <w:sz w:val="16"/>
                <w:szCs w:val="16"/>
              </w:rPr>
              <w:t>;</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15.33.KDL</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14.32</w:t>
            </w:r>
            <w:r w:rsidR="005B1A9B" w:rsidRPr="00F8188D">
              <w:rPr>
                <w:rFonts w:ascii="Verdana" w:eastAsia="Times New Roman" w:hAnsi="Verdana" w:cs="Times New Roman"/>
                <w:sz w:val="16"/>
                <w:szCs w:val="16"/>
              </w:rPr>
              <w:t>.</w:t>
            </w:r>
            <w:r w:rsidRPr="00F8188D">
              <w:rPr>
                <w:rFonts w:ascii="Verdana" w:eastAsia="Times New Roman" w:hAnsi="Verdana" w:cs="Times New Roman"/>
                <w:sz w:val="16"/>
                <w:szCs w:val="16"/>
              </w:rPr>
              <w:t>KDZ</w:t>
            </w:r>
            <w:r w:rsidR="00F8188D" w:rsidRPr="00F8188D">
              <w:rPr>
                <w:rFonts w:ascii="Verdana" w:eastAsia="Times New Roman" w:hAnsi="Verdana" w:cs="Times New Roman"/>
                <w:sz w:val="16"/>
                <w:szCs w:val="16"/>
              </w:rPr>
              <w:t>:</w:t>
            </w:r>
          </w:p>
          <w:p w:rsidR="005D128A" w:rsidRPr="00F8188D" w:rsidRDefault="005D128A"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 xml:space="preserve">- brak ustaleń </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8.18</w:t>
            </w:r>
            <w:r w:rsidR="005B1A9B" w:rsidRPr="00F8188D">
              <w:rPr>
                <w:rFonts w:ascii="Verdana" w:eastAsia="Times New Roman" w:hAnsi="Verdana" w:cs="Times New Roman"/>
                <w:sz w:val="16"/>
                <w:szCs w:val="16"/>
              </w:rPr>
              <w:t>.</w:t>
            </w:r>
            <w:r w:rsidRPr="00F8188D">
              <w:rPr>
                <w:rFonts w:ascii="Verdana" w:eastAsia="Times New Roman" w:hAnsi="Verdana" w:cs="Times New Roman"/>
                <w:sz w:val="16"/>
                <w:szCs w:val="16"/>
              </w:rPr>
              <w:t>ZP</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8.19.ZP</w:t>
            </w:r>
          </w:p>
          <w:p w:rsidR="005D128A" w:rsidRPr="00F8188D" w:rsidRDefault="00932C5A"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 xml:space="preserve">- </w:t>
            </w:r>
            <w:r w:rsidR="005D128A" w:rsidRPr="00F8188D">
              <w:rPr>
                <w:rFonts w:ascii="Verdana" w:eastAsia="Times New Roman" w:hAnsi="Verdana" w:cs="Times New Roman"/>
                <w:sz w:val="16"/>
                <w:szCs w:val="16"/>
              </w:rPr>
              <w:t>nie ustala się</w:t>
            </w:r>
          </w:p>
          <w:p w:rsidR="001E2DE3" w:rsidRPr="00F8188D" w:rsidRDefault="001E2DE3" w:rsidP="001E2DE3">
            <w:pPr>
              <w:spacing w:before="120" w:after="120" w:line="240" w:lineRule="auto"/>
              <w:rPr>
                <w:rFonts w:ascii="Verdana" w:eastAsia="Times New Roman" w:hAnsi="Verdana" w:cs="Times New Roman"/>
                <w:b/>
                <w:sz w:val="16"/>
                <w:szCs w:val="16"/>
              </w:rPr>
            </w:pPr>
            <w:r w:rsidRPr="00F8188D">
              <w:rPr>
                <w:rFonts w:ascii="Verdana" w:eastAsia="Times New Roman" w:hAnsi="Verdana" w:cs="Times New Roman"/>
                <w:b/>
                <w:sz w:val="16"/>
                <w:szCs w:val="16"/>
              </w:rPr>
              <w:t>plan nr 111; XVII/232/11 z dnia 21.12.2012r.</w:t>
            </w:r>
          </w:p>
          <w:p w:rsidR="001E2DE3" w:rsidRPr="00F8188D" w:rsidRDefault="00AC1AAD" w:rsidP="001E2DE3">
            <w:pPr>
              <w:spacing w:after="0"/>
              <w:rPr>
                <w:rFonts w:ascii="Verdana" w:eastAsia="Times New Roman" w:hAnsi="Verdana" w:cs="Times New Roman"/>
                <w:sz w:val="16"/>
                <w:szCs w:val="16"/>
              </w:rPr>
            </w:pPr>
            <w:r w:rsidRPr="00F8188D">
              <w:rPr>
                <w:rFonts w:ascii="Verdana" w:eastAsia="Times New Roman" w:hAnsi="Verdana" w:cs="Times New Roman"/>
                <w:sz w:val="16"/>
                <w:szCs w:val="16"/>
              </w:rPr>
              <w:t xml:space="preserve">01.30.MN; </w:t>
            </w:r>
            <w:r w:rsidR="001E2DE3" w:rsidRPr="00F8188D">
              <w:rPr>
                <w:rFonts w:ascii="Verdana" w:eastAsia="Times New Roman" w:hAnsi="Verdana" w:cs="Times New Roman"/>
                <w:sz w:val="16"/>
                <w:szCs w:val="16"/>
              </w:rPr>
              <w:t>01.46.MN</w:t>
            </w:r>
            <w:r w:rsidR="00F8188D" w:rsidRPr="00F8188D">
              <w:rPr>
                <w:rFonts w:ascii="Verdana" w:eastAsia="Times New Roman" w:hAnsi="Verdana" w:cs="Times New Roman"/>
                <w:sz w:val="16"/>
                <w:szCs w:val="16"/>
              </w:rPr>
              <w:t>:</w:t>
            </w:r>
          </w:p>
          <w:p w:rsidR="00AC1AAD" w:rsidRPr="00F8188D" w:rsidRDefault="00AC1AAD" w:rsidP="00AC1AAD">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w:t>
            </w:r>
            <w:r w:rsidR="00932C5A" w:rsidRPr="00F8188D">
              <w:rPr>
                <w:rFonts w:ascii="Verdana" w:hAnsi="Verdana" w:cs="TimesNewRomanPSMT"/>
                <w:sz w:val="16"/>
                <w:szCs w:val="16"/>
              </w:rPr>
              <w:t xml:space="preserve"> </w:t>
            </w:r>
            <w:r w:rsidRPr="00F8188D">
              <w:rPr>
                <w:rFonts w:ascii="Verdana" w:hAnsi="Verdana" w:cs="TimesNewRomanPSMT"/>
                <w:sz w:val="16"/>
                <w:szCs w:val="16"/>
              </w:rPr>
              <w:t>dla zabudowy wolnostojącej</w:t>
            </w:r>
            <w:r w:rsidR="00786A8C" w:rsidRPr="00F8188D">
              <w:rPr>
                <w:rFonts w:ascii="Verdana" w:hAnsi="Verdana" w:cs="TimesNewRomanPSMT"/>
                <w:sz w:val="16"/>
                <w:szCs w:val="16"/>
              </w:rPr>
              <w:t xml:space="preserve"> </w:t>
            </w:r>
            <w:r w:rsidRPr="00F8188D">
              <w:rPr>
                <w:rFonts w:ascii="Verdana" w:hAnsi="Verdana" w:cs="TimesNewRomanPSMT"/>
                <w:sz w:val="16"/>
                <w:szCs w:val="16"/>
              </w:rPr>
              <w:t>i bliźniaczej maksymalnie 25% w stosunku</w:t>
            </w:r>
            <w:r w:rsidR="00786A8C" w:rsidRPr="00F8188D">
              <w:rPr>
                <w:rFonts w:ascii="Verdana" w:hAnsi="Verdana" w:cs="TimesNewRomanPSMT"/>
                <w:sz w:val="16"/>
                <w:szCs w:val="16"/>
              </w:rPr>
              <w:t xml:space="preserve"> </w:t>
            </w:r>
            <w:r w:rsidRPr="00F8188D">
              <w:rPr>
                <w:rFonts w:ascii="Verdana" w:hAnsi="Verdana" w:cs="TimesNewRomanPSMT"/>
                <w:sz w:val="16"/>
                <w:szCs w:val="16"/>
              </w:rPr>
              <w:t xml:space="preserve">do powierzchni </w:t>
            </w:r>
            <w:r w:rsidR="005A0DDA" w:rsidRPr="00F8188D">
              <w:rPr>
                <w:rFonts w:ascii="Verdana" w:hAnsi="Verdana" w:cs="TimesNewRomanPSMT"/>
                <w:sz w:val="16"/>
                <w:szCs w:val="16"/>
              </w:rPr>
              <w:t>d</w:t>
            </w:r>
            <w:r w:rsidRPr="00F8188D">
              <w:rPr>
                <w:rFonts w:ascii="Verdana" w:hAnsi="Verdana" w:cs="TimesNewRomanPSMT"/>
                <w:sz w:val="16"/>
                <w:szCs w:val="16"/>
              </w:rPr>
              <w:t>ziałki,</w:t>
            </w:r>
          </w:p>
          <w:p w:rsidR="00AC1AAD" w:rsidRPr="00F8188D" w:rsidRDefault="00AC1AAD" w:rsidP="00AC1AAD">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w:t>
            </w:r>
            <w:r w:rsidR="00932C5A" w:rsidRPr="00F8188D">
              <w:rPr>
                <w:rFonts w:ascii="Verdana" w:hAnsi="Verdana" w:cs="TimesNewRomanPSMT"/>
                <w:sz w:val="16"/>
                <w:szCs w:val="16"/>
              </w:rPr>
              <w:t xml:space="preserve"> </w:t>
            </w:r>
            <w:r w:rsidRPr="00F8188D">
              <w:rPr>
                <w:rFonts w:ascii="Verdana" w:hAnsi="Verdana" w:cs="TimesNewRomanPSMT"/>
                <w:sz w:val="16"/>
                <w:szCs w:val="16"/>
              </w:rPr>
              <w:t>dla zabudowy szeregowej</w:t>
            </w:r>
          </w:p>
          <w:p w:rsidR="00AC1AAD" w:rsidRPr="00F8188D" w:rsidRDefault="00AC1AAD" w:rsidP="00AC1AAD">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maksymalnie 35% w stosunku do</w:t>
            </w:r>
          </w:p>
          <w:p w:rsidR="00AC1AAD" w:rsidRPr="00F8188D" w:rsidRDefault="00AC1AAD" w:rsidP="00AC1AAD">
            <w:pPr>
              <w:spacing w:after="0"/>
              <w:rPr>
                <w:rFonts w:ascii="Verdana" w:eastAsia="Times New Roman" w:hAnsi="Verdana" w:cs="Times New Roman"/>
                <w:sz w:val="16"/>
                <w:szCs w:val="16"/>
              </w:rPr>
            </w:pPr>
            <w:r w:rsidRPr="00F8188D">
              <w:rPr>
                <w:rFonts w:ascii="Verdana" w:hAnsi="Verdana" w:cs="TimesNewRomanPSMT"/>
                <w:sz w:val="16"/>
                <w:szCs w:val="16"/>
              </w:rPr>
              <w:t>powierzchni działki.</w:t>
            </w:r>
          </w:p>
          <w:p w:rsidR="00441BFF" w:rsidRPr="00F8188D" w:rsidRDefault="001E2DE3" w:rsidP="001E2DE3">
            <w:pPr>
              <w:spacing w:after="0"/>
              <w:rPr>
                <w:rFonts w:ascii="Verdana" w:hAnsi="Verdana" w:cs="TimesNewRomanPS-BoldMT"/>
                <w:bCs/>
                <w:sz w:val="16"/>
                <w:szCs w:val="16"/>
              </w:rPr>
            </w:pPr>
            <w:r w:rsidRPr="00F8188D">
              <w:rPr>
                <w:rFonts w:ascii="Verdana" w:eastAsia="Times New Roman" w:hAnsi="Verdana" w:cs="Times New Roman"/>
                <w:sz w:val="16"/>
                <w:szCs w:val="16"/>
              </w:rPr>
              <w:t>12.47.KDD</w:t>
            </w:r>
            <w:r w:rsidR="00441BFF" w:rsidRPr="00F8188D">
              <w:rPr>
                <w:rFonts w:ascii="Verdana" w:eastAsia="Times New Roman" w:hAnsi="Verdana" w:cs="Times New Roman"/>
                <w:sz w:val="16"/>
                <w:szCs w:val="16"/>
              </w:rPr>
              <w:t xml:space="preserve">; </w:t>
            </w:r>
            <w:r w:rsidRPr="00F8188D">
              <w:rPr>
                <w:rFonts w:ascii="Verdana" w:hAnsi="Verdana" w:cs="TimesNewRomanPS-BoldMT"/>
                <w:bCs/>
                <w:sz w:val="16"/>
                <w:szCs w:val="16"/>
              </w:rPr>
              <w:t>09.37.KDZ</w:t>
            </w:r>
            <w:r w:rsidR="00441BFF" w:rsidRPr="00F8188D">
              <w:rPr>
                <w:rFonts w:ascii="Verdana" w:hAnsi="Verdana" w:cs="TimesNewRomanPS-BoldMT"/>
                <w:bCs/>
                <w:sz w:val="16"/>
                <w:szCs w:val="16"/>
              </w:rPr>
              <w:t>:</w:t>
            </w:r>
          </w:p>
          <w:p w:rsidR="001E2DE3" w:rsidRPr="00F8188D" w:rsidRDefault="00441BFF" w:rsidP="001E2DE3">
            <w:pPr>
              <w:spacing w:after="0"/>
            </w:pPr>
            <w:r w:rsidRPr="00F8188D">
              <w:rPr>
                <w:rFonts w:ascii="Verdana" w:hAnsi="Verdana" w:cs="TimesNewRomanPS-BoldMT"/>
                <w:bCs/>
                <w:sz w:val="16"/>
                <w:szCs w:val="16"/>
              </w:rPr>
              <w:t>- nie ustala się</w:t>
            </w:r>
            <w:r w:rsidR="001E2DE3" w:rsidRPr="00F8188D">
              <w:rPr>
                <w:rFonts w:ascii="Verdana" w:hAnsi="Verdana" w:cs="TimesNewRomanPS-BoldMT"/>
                <w:bCs/>
                <w:sz w:val="16"/>
                <w:szCs w:val="16"/>
              </w:rPr>
              <w:t xml:space="preserve"> </w:t>
            </w:r>
          </w:p>
          <w:p w:rsidR="00786A8C" w:rsidRPr="00F8188D" w:rsidRDefault="001E2DE3" w:rsidP="005A0DDA">
            <w:pPr>
              <w:spacing w:before="120" w:after="120" w:line="240" w:lineRule="auto"/>
              <w:rPr>
                <w:rFonts w:ascii="Verdana" w:eastAsia="Times New Roman" w:hAnsi="Verdana" w:cs="Times New Roman"/>
                <w:b/>
                <w:sz w:val="16"/>
                <w:szCs w:val="16"/>
              </w:rPr>
            </w:pPr>
            <w:r w:rsidRPr="00F8188D">
              <w:rPr>
                <w:rFonts w:ascii="Verdana" w:eastAsia="Times New Roman" w:hAnsi="Verdana" w:cs="Times New Roman"/>
                <w:b/>
                <w:sz w:val="16"/>
                <w:szCs w:val="16"/>
              </w:rPr>
              <w:t>plan nr 15; XXXVIII/574/09 z dnia 27.05.2009r.</w:t>
            </w:r>
          </w:p>
          <w:p w:rsidR="001E2DE3" w:rsidRPr="00F8188D" w:rsidRDefault="005A0DDA" w:rsidP="001E2DE3">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28.MN ;</w:t>
            </w:r>
            <w:r w:rsidR="00B514F5" w:rsidRPr="00F8188D">
              <w:rPr>
                <w:rFonts w:ascii="Verdana" w:eastAsia="Times New Roman" w:hAnsi="Verdana" w:cs="Times New Roman"/>
                <w:sz w:val="16"/>
                <w:szCs w:val="16"/>
              </w:rPr>
              <w:t>29</w:t>
            </w:r>
            <w:r w:rsidR="001E2DE3" w:rsidRPr="00F8188D">
              <w:rPr>
                <w:rFonts w:ascii="Verdana" w:eastAsia="Times New Roman" w:hAnsi="Verdana" w:cs="Times New Roman"/>
                <w:sz w:val="16"/>
                <w:szCs w:val="16"/>
              </w:rPr>
              <w:t>.MN</w:t>
            </w:r>
            <w:r w:rsidR="002A1D15">
              <w:rPr>
                <w:rFonts w:ascii="Verdana" w:eastAsia="Times New Roman" w:hAnsi="Verdana" w:cs="Times New Roman"/>
                <w:sz w:val="16"/>
                <w:szCs w:val="16"/>
              </w:rPr>
              <w:t>:</w:t>
            </w:r>
            <w:r w:rsidR="001E2DE3" w:rsidRPr="00F8188D">
              <w:rPr>
                <w:rFonts w:ascii="Verdana" w:eastAsia="Times New Roman" w:hAnsi="Verdana" w:cs="Times New Roman"/>
                <w:sz w:val="16"/>
                <w:szCs w:val="16"/>
              </w:rPr>
              <w:t xml:space="preserve"> </w:t>
            </w:r>
          </w:p>
          <w:p w:rsidR="00EA1C22" w:rsidRPr="00F8188D" w:rsidRDefault="00932C5A" w:rsidP="00932C5A">
            <w:pPr>
              <w:spacing w:after="12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w:t>
            </w:r>
            <w:r w:rsidR="00EA3158" w:rsidRPr="00F8188D">
              <w:rPr>
                <w:rFonts w:ascii="Verdana" w:eastAsia="Times New Roman" w:hAnsi="Verdana" w:cs="Times New Roman"/>
                <w:sz w:val="16"/>
                <w:szCs w:val="16"/>
              </w:rPr>
              <w:t xml:space="preserve"> </w:t>
            </w:r>
            <w:r w:rsidR="00EA3158" w:rsidRPr="00F8188D">
              <w:rPr>
                <w:rFonts w:ascii="Verdana" w:hAnsi="Verdana" w:cs="TimesNewRomanPSMT"/>
                <w:sz w:val="16"/>
                <w:szCs w:val="16"/>
              </w:rPr>
              <w:t>brak ustaleń</w:t>
            </w:r>
          </w:p>
        </w:tc>
      </w:tr>
      <w:tr w:rsidR="00204EA4" w:rsidRPr="00DE23F2" w:rsidTr="001F7FC1">
        <w:trPr>
          <w:trHeight w:val="16"/>
        </w:trPr>
        <w:tc>
          <w:tcPr>
            <w:tcW w:w="2958" w:type="dxa"/>
            <w:vMerge/>
            <w:shd w:val="clear" w:color="auto" w:fill="F3F3F3"/>
          </w:tcPr>
          <w:p w:rsidR="00204EA4" w:rsidRPr="00BC2537" w:rsidRDefault="00204EA4"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204EA4" w:rsidRPr="002A1D15" w:rsidRDefault="00204EA4" w:rsidP="00D80E3E">
            <w:pPr>
              <w:spacing w:beforeLines="60" w:afterLines="60" w:line="240" w:lineRule="auto"/>
              <w:rPr>
                <w:rFonts w:ascii="Verdana" w:eastAsia="Times New Roman" w:hAnsi="Verdana" w:cs="Times New Roman"/>
                <w:sz w:val="16"/>
                <w:szCs w:val="16"/>
                <w:lang w:eastAsia="pl-PL"/>
              </w:rPr>
            </w:pPr>
            <w:r w:rsidRPr="002A1D15">
              <w:rPr>
                <w:rFonts w:ascii="Verdana" w:eastAsia="Times New Roman" w:hAnsi="Verdana" w:cs="Times New Roman"/>
                <w:sz w:val="16"/>
                <w:szCs w:val="16"/>
                <w:lang w:eastAsia="pl-PL"/>
              </w:rPr>
              <w:t>Maksymalna i minimalna nadziemna intensywność zabudowy</w:t>
            </w:r>
          </w:p>
        </w:tc>
        <w:tc>
          <w:tcPr>
            <w:tcW w:w="3600" w:type="dxa"/>
            <w:shd w:val="clear" w:color="auto" w:fill="auto"/>
          </w:tcPr>
          <w:p w:rsidR="00DE09EC" w:rsidRPr="002A1D15" w:rsidRDefault="00DE09EC" w:rsidP="00DE09EC">
            <w:pPr>
              <w:spacing w:before="120" w:after="120" w:line="240" w:lineRule="auto"/>
              <w:rPr>
                <w:rFonts w:ascii="Verdana" w:hAnsi="Verdana"/>
                <w:b/>
                <w:sz w:val="16"/>
                <w:szCs w:val="16"/>
              </w:rPr>
            </w:pPr>
            <w:r w:rsidRPr="002A1D15">
              <w:rPr>
                <w:rFonts w:ascii="Verdana" w:eastAsia="Times New Roman" w:hAnsi="Verdana" w:cs="Times New Roman"/>
                <w:b/>
                <w:sz w:val="16"/>
                <w:szCs w:val="16"/>
              </w:rPr>
              <w:t xml:space="preserve">plan nr 153; </w:t>
            </w:r>
            <w:r w:rsidRPr="002A1D15">
              <w:rPr>
                <w:rFonts w:ascii="Verdana" w:hAnsi="Verdana"/>
                <w:b/>
                <w:sz w:val="16"/>
                <w:szCs w:val="16"/>
              </w:rPr>
              <w:t>LIII/738/18 z dnia 27.06 2018r.</w:t>
            </w:r>
          </w:p>
          <w:p w:rsidR="00DE09EC" w:rsidRPr="002A1D15" w:rsidRDefault="00DE09EC" w:rsidP="00DE09EC">
            <w:pPr>
              <w:autoSpaceDE w:val="0"/>
              <w:autoSpaceDN w:val="0"/>
              <w:adjustRightInd w:val="0"/>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2.4MN; 2.7MN</w:t>
            </w:r>
            <w:r w:rsidR="002A1D15">
              <w:rPr>
                <w:rFonts w:ascii="Verdana" w:eastAsia="Times New Roman" w:hAnsi="Verdana" w:cs="Times New Roman"/>
                <w:sz w:val="16"/>
                <w:szCs w:val="16"/>
              </w:rPr>
              <w:t>:</w:t>
            </w:r>
            <w:r w:rsidRPr="002A1D15">
              <w:rPr>
                <w:rFonts w:ascii="Verdana" w:eastAsia="Times New Roman" w:hAnsi="Verdana" w:cs="Times New Roman"/>
                <w:sz w:val="16"/>
                <w:szCs w:val="16"/>
              </w:rPr>
              <w:t xml:space="preserve"> </w:t>
            </w:r>
          </w:p>
          <w:p w:rsidR="00DE09EC" w:rsidRPr="002A1D15" w:rsidRDefault="001F17E3" w:rsidP="001F17E3">
            <w:pPr>
              <w:autoSpaceDE w:val="0"/>
              <w:autoSpaceDN w:val="0"/>
              <w:adjustRightInd w:val="0"/>
              <w:spacing w:after="0" w:line="240" w:lineRule="auto"/>
              <w:rPr>
                <w:rFonts w:ascii="Verdana" w:hAnsi="Verdana" w:cs="TimesNewRomanPSMT"/>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hAnsi="Verdana" w:cs="TimesNewRomanPSMT"/>
                <w:sz w:val="16"/>
                <w:szCs w:val="16"/>
              </w:rPr>
              <w:t xml:space="preserve">minimalna: </w:t>
            </w:r>
            <w:r w:rsidR="001F17E3"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3.6MN</w:t>
            </w:r>
            <w:r w:rsidR="002A1D15">
              <w:rPr>
                <w:rFonts w:ascii="Verdana" w:eastAsia="Times New Roman" w:hAnsi="Verdana" w:cs="Times New Roman"/>
                <w:sz w:val="16"/>
                <w:szCs w:val="16"/>
              </w:rPr>
              <w:t>:</w:t>
            </w:r>
          </w:p>
          <w:p w:rsidR="001F17E3"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001F17E3" w:rsidRPr="002A1D15">
              <w:rPr>
                <w:rFonts w:ascii="Verdana" w:hAnsi="Verdana" w:cs="TimesNewRomanPSMT"/>
                <w:sz w:val="16"/>
                <w:szCs w:val="16"/>
              </w:rPr>
              <w:t>brak ustaleń</w:t>
            </w:r>
            <w:r w:rsidR="001F17E3" w:rsidRPr="002A1D15">
              <w:rPr>
                <w:rFonts w:ascii="Verdana" w:eastAsia="Times New Roman" w:hAnsi="Verdana" w:cs="Times New Roman"/>
                <w:sz w:val="16"/>
                <w:szCs w:val="16"/>
              </w:rPr>
              <w:t xml:space="preserve"> </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001F17E3"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4.10.MWn; 4.11.MWn; 4.12a.MWn</w:t>
            </w:r>
          </w:p>
          <w:p w:rsidR="001F17E3"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001F17E3" w:rsidRPr="002A1D15">
              <w:rPr>
                <w:rFonts w:ascii="Verdana" w:hAnsi="Verdana" w:cs="TimesNewRomanPSMT"/>
                <w:sz w:val="16"/>
                <w:szCs w:val="16"/>
              </w:rPr>
              <w:t>brak ustaleń</w:t>
            </w:r>
            <w:r w:rsidR="001F17E3" w:rsidRPr="002A1D15">
              <w:rPr>
                <w:rFonts w:ascii="Verdana" w:eastAsia="Times New Roman" w:hAnsi="Verdana" w:cs="Times New Roman"/>
                <w:sz w:val="16"/>
                <w:szCs w:val="16"/>
              </w:rPr>
              <w:t xml:space="preserve"> </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001F17E3"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16.40.KDD; 16.42.KDD;16.43.KDD;</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17.47.KDW; 17.49.KDW; 17.53.KDW;</w:t>
            </w:r>
          </w:p>
          <w:p w:rsidR="00DE09EC" w:rsidRPr="002A1D15" w:rsidRDefault="002A1D15" w:rsidP="00DE09EC">
            <w:pPr>
              <w:spacing w:after="0" w:line="240" w:lineRule="auto"/>
              <w:rPr>
                <w:rFonts w:ascii="Verdana" w:eastAsia="Times New Roman" w:hAnsi="Verdana" w:cs="Times New Roman"/>
                <w:sz w:val="16"/>
                <w:szCs w:val="16"/>
              </w:rPr>
            </w:pPr>
            <w:r>
              <w:rPr>
                <w:rFonts w:ascii="Verdana" w:eastAsia="Times New Roman" w:hAnsi="Verdana" w:cs="Times New Roman"/>
                <w:sz w:val="16"/>
                <w:szCs w:val="16"/>
              </w:rPr>
              <w:t>15.33.KDL; 14.32.KDZ:</w:t>
            </w:r>
          </w:p>
          <w:p w:rsidR="00EA3158" w:rsidRPr="002A1D15" w:rsidRDefault="00EA3158" w:rsidP="00EA3158">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EA3158" w:rsidRPr="002A1D15" w:rsidRDefault="00EA3158" w:rsidP="00EA3158">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8.18.ZP; 8.19.ZP</w:t>
            </w:r>
            <w:r w:rsidR="002A1D15">
              <w:rPr>
                <w:rFonts w:ascii="Verdana" w:eastAsia="Times New Roman" w:hAnsi="Verdana" w:cs="Times New Roman"/>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00BB4899" w:rsidRPr="002A1D15">
              <w:rPr>
                <w:rFonts w:ascii="Verdana" w:hAnsi="Verdana" w:cs="TimesNewRomanPSMT"/>
                <w:sz w:val="16"/>
                <w:szCs w:val="16"/>
              </w:rPr>
              <w:t>brak ustaleń</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00BB4899"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111; XVII/232/11 z dnia 21.12.2012r.</w:t>
            </w:r>
          </w:p>
          <w:p w:rsidR="00DE09EC" w:rsidRPr="002A1D15" w:rsidRDefault="00DE09EC" w:rsidP="00DE09EC">
            <w:pPr>
              <w:spacing w:after="0"/>
              <w:rPr>
                <w:rFonts w:ascii="Verdana" w:eastAsia="Times New Roman" w:hAnsi="Verdana" w:cs="Times New Roman"/>
                <w:sz w:val="16"/>
                <w:szCs w:val="16"/>
              </w:rPr>
            </w:pPr>
            <w:r w:rsidRPr="002A1D15">
              <w:rPr>
                <w:rFonts w:ascii="Verdana" w:eastAsia="Times New Roman" w:hAnsi="Verdana" w:cs="Times New Roman"/>
                <w:sz w:val="16"/>
                <w:szCs w:val="16"/>
              </w:rPr>
              <w:t>01.30.MN; 01.46.MN</w:t>
            </w:r>
            <w:r w:rsidR="002A1D15">
              <w:rPr>
                <w:rFonts w:ascii="Verdana" w:eastAsia="Times New Roman" w:hAnsi="Verdana" w:cs="Times New Roman"/>
                <w:sz w:val="16"/>
                <w:szCs w:val="16"/>
              </w:rPr>
              <w:t>:</w:t>
            </w:r>
          </w:p>
          <w:p w:rsidR="00DE09EC" w:rsidRPr="002A1D15" w:rsidRDefault="00DE09EC" w:rsidP="00DE09EC">
            <w:pPr>
              <w:spacing w:after="0"/>
              <w:rPr>
                <w:rFonts w:ascii="Verdana" w:eastAsia="Times New Roman" w:hAnsi="Verdana" w:cs="Times New Roman"/>
                <w:sz w:val="16"/>
                <w:szCs w:val="16"/>
              </w:rPr>
            </w:pPr>
            <w:r w:rsidRPr="002A1D15">
              <w:rPr>
                <w:rFonts w:ascii="Verdana" w:eastAsia="Times New Roman" w:hAnsi="Verdana" w:cs="Times New Roman"/>
                <w:sz w:val="16"/>
                <w:szCs w:val="16"/>
              </w:rPr>
              <w:t>maksymalna:</w:t>
            </w:r>
            <w:r w:rsidR="00EA3158" w:rsidRPr="002A1D15">
              <w:rPr>
                <w:rFonts w:ascii="Verdana" w:eastAsia="Times New Roman" w:hAnsi="Verdana" w:cs="Times New Roman"/>
                <w:sz w:val="16"/>
                <w:szCs w:val="16"/>
              </w:rPr>
              <w:t xml:space="preserve"> </w:t>
            </w:r>
            <w:r w:rsidR="00EA3158" w:rsidRPr="002A1D15">
              <w:rPr>
                <w:rFonts w:ascii="Verdana" w:hAnsi="Verdana" w:cs="TimesNewRomanPSMT"/>
                <w:sz w:val="16"/>
                <w:szCs w:val="16"/>
              </w:rPr>
              <w:t>brak ustaleń</w:t>
            </w:r>
          </w:p>
          <w:p w:rsidR="00DE09EC" w:rsidRPr="002A1D15" w:rsidRDefault="00DE09EC" w:rsidP="00DE09EC">
            <w:pPr>
              <w:spacing w:after="0"/>
              <w:rPr>
                <w:rFonts w:ascii="Verdana" w:eastAsia="Times New Roman" w:hAnsi="Verdana" w:cs="Times New Roman"/>
                <w:sz w:val="16"/>
                <w:szCs w:val="16"/>
              </w:rPr>
            </w:pPr>
            <w:r w:rsidRPr="002A1D15">
              <w:rPr>
                <w:rFonts w:ascii="Verdana" w:eastAsia="Times New Roman" w:hAnsi="Verdana" w:cs="Times New Roman"/>
                <w:sz w:val="16"/>
                <w:szCs w:val="16"/>
              </w:rPr>
              <w:t>minimalna:</w:t>
            </w:r>
            <w:r w:rsidR="00EA3158" w:rsidRPr="002A1D15">
              <w:rPr>
                <w:rFonts w:ascii="Verdana" w:eastAsia="Times New Roman" w:hAnsi="Verdana" w:cs="Times New Roman"/>
                <w:sz w:val="16"/>
                <w:szCs w:val="16"/>
              </w:rPr>
              <w:t xml:space="preserve"> </w:t>
            </w:r>
            <w:r w:rsidR="00EA3158"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rPr>
                <w:rFonts w:ascii="Verdana" w:hAnsi="Verdana" w:cs="TimesNewRomanPS-BoldMT"/>
                <w:bCs/>
                <w:sz w:val="16"/>
                <w:szCs w:val="16"/>
              </w:rPr>
            </w:pPr>
            <w:r w:rsidRPr="002A1D15">
              <w:rPr>
                <w:rFonts w:ascii="Verdana" w:eastAsia="Times New Roman" w:hAnsi="Verdana" w:cs="Times New Roman"/>
                <w:sz w:val="16"/>
                <w:szCs w:val="16"/>
              </w:rPr>
              <w:t xml:space="preserve">12.47.KDD; </w:t>
            </w:r>
            <w:r w:rsidRPr="002A1D15">
              <w:rPr>
                <w:rFonts w:ascii="Verdana" w:hAnsi="Verdana" w:cs="TimesNewRomanPS-BoldMT"/>
                <w:bCs/>
                <w:sz w:val="16"/>
                <w:szCs w:val="16"/>
              </w:rPr>
              <w:t>09.37.KDZ:</w:t>
            </w:r>
          </w:p>
          <w:p w:rsidR="00EA3158" w:rsidRPr="002A1D15" w:rsidRDefault="00EA3158" w:rsidP="00EA3158">
            <w:pPr>
              <w:spacing w:after="0"/>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EA3158" w:rsidRPr="002A1D15" w:rsidRDefault="00EA3158" w:rsidP="00EA3158">
            <w:pPr>
              <w:spacing w:after="0"/>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15; XXXVIII/574/09 z dnia 27.05.2009r.</w:t>
            </w:r>
          </w:p>
          <w:p w:rsidR="00DE09EC" w:rsidRPr="002A1D15" w:rsidRDefault="002A1D15" w:rsidP="00DE09EC">
            <w:pPr>
              <w:spacing w:after="0" w:line="240" w:lineRule="auto"/>
              <w:rPr>
                <w:rFonts w:ascii="Verdana" w:eastAsia="Times New Roman" w:hAnsi="Verdana" w:cs="Times New Roman"/>
                <w:sz w:val="16"/>
                <w:szCs w:val="16"/>
              </w:rPr>
            </w:pPr>
            <w:r>
              <w:rPr>
                <w:rFonts w:ascii="Verdana" w:eastAsia="Times New Roman" w:hAnsi="Verdana" w:cs="Times New Roman"/>
                <w:sz w:val="16"/>
                <w:szCs w:val="16"/>
              </w:rPr>
              <w:t>28.MN ;29.MN:</w:t>
            </w:r>
          </w:p>
          <w:p w:rsidR="00EA3158" w:rsidRPr="002A1D15" w:rsidRDefault="00EA3158" w:rsidP="00EA3158">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204EA4" w:rsidRPr="002A1D15" w:rsidRDefault="00EA3158" w:rsidP="00653B69">
            <w:pPr>
              <w:spacing w:after="120" w:line="240" w:lineRule="auto"/>
              <w:rPr>
                <w:rFonts w:ascii="Verdana" w:eastAsia="Times New Roman" w:hAnsi="Verdana" w:cs="Times New Roman"/>
                <w:b/>
                <w:sz w:val="16"/>
                <w:szCs w:val="16"/>
              </w:rPr>
            </w:pPr>
            <w:r w:rsidRPr="002A1D15">
              <w:rPr>
                <w:rFonts w:ascii="Verdana" w:eastAsia="Times New Roman" w:hAnsi="Verdana" w:cs="Times New Roman"/>
                <w:sz w:val="16"/>
                <w:szCs w:val="16"/>
              </w:rPr>
              <w:t xml:space="preserve">minimalna: </w:t>
            </w:r>
            <w:r w:rsidRPr="002A1D15">
              <w:rPr>
                <w:rFonts w:ascii="Verdana" w:hAnsi="Verdana" w:cs="TimesNewRomanPSMT"/>
                <w:sz w:val="16"/>
                <w:szCs w:val="16"/>
              </w:rPr>
              <w:t>brak ustaleń</w:t>
            </w:r>
            <w:r w:rsidR="002A1D15">
              <w:rPr>
                <w:rFonts w:ascii="Verdana" w:hAnsi="Verdana" w:cs="TimesNewRomanPSMT"/>
                <w:sz w:val="16"/>
                <w:szCs w:val="16"/>
              </w:rPr>
              <w:t>;</w:t>
            </w:r>
          </w:p>
        </w:tc>
      </w:tr>
      <w:tr w:rsidR="00204EA4" w:rsidRPr="00DE23F2" w:rsidTr="001F7FC1">
        <w:trPr>
          <w:trHeight w:val="16"/>
        </w:trPr>
        <w:tc>
          <w:tcPr>
            <w:tcW w:w="2958" w:type="dxa"/>
            <w:vMerge/>
            <w:shd w:val="clear" w:color="auto" w:fill="F3F3F3"/>
          </w:tcPr>
          <w:p w:rsidR="00204EA4" w:rsidRPr="00BC2537" w:rsidRDefault="00204EA4"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204EA4" w:rsidRPr="002A1D15" w:rsidRDefault="00204EA4" w:rsidP="00D80E3E">
            <w:pPr>
              <w:spacing w:beforeLines="60" w:afterLines="60" w:line="240" w:lineRule="auto"/>
              <w:rPr>
                <w:rFonts w:ascii="Verdana" w:eastAsia="Times New Roman" w:hAnsi="Verdana" w:cs="Times New Roman"/>
                <w:sz w:val="16"/>
                <w:szCs w:val="16"/>
                <w:lang w:eastAsia="pl-PL"/>
              </w:rPr>
            </w:pPr>
            <w:r w:rsidRPr="002A1D15">
              <w:rPr>
                <w:rFonts w:ascii="Verdana" w:eastAsia="Times New Roman" w:hAnsi="Verdana" w:cs="Times New Roman"/>
                <w:sz w:val="16"/>
                <w:szCs w:val="16"/>
                <w:lang w:eastAsia="pl-PL"/>
              </w:rPr>
              <w:t>Maksymalna powierzchnia zabudowy</w:t>
            </w:r>
          </w:p>
        </w:tc>
        <w:tc>
          <w:tcPr>
            <w:tcW w:w="3600" w:type="dxa"/>
            <w:shd w:val="clear" w:color="auto" w:fill="auto"/>
          </w:tcPr>
          <w:p w:rsidR="00BB4899" w:rsidRPr="002A1D15" w:rsidRDefault="00BB4899" w:rsidP="00BB4899">
            <w:pPr>
              <w:spacing w:before="120" w:after="120" w:line="240" w:lineRule="auto"/>
              <w:rPr>
                <w:rFonts w:ascii="Verdana" w:hAnsi="Verdana"/>
                <w:b/>
                <w:sz w:val="16"/>
                <w:szCs w:val="16"/>
              </w:rPr>
            </w:pPr>
            <w:r w:rsidRPr="002A1D15">
              <w:rPr>
                <w:rFonts w:ascii="Verdana" w:eastAsia="Times New Roman" w:hAnsi="Verdana" w:cs="Times New Roman"/>
                <w:b/>
                <w:sz w:val="16"/>
                <w:szCs w:val="16"/>
              </w:rPr>
              <w:t xml:space="preserve">plan nr 153; </w:t>
            </w:r>
            <w:r w:rsidRPr="002A1D15">
              <w:rPr>
                <w:rFonts w:ascii="Verdana" w:hAnsi="Verdana"/>
                <w:b/>
                <w:sz w:val="16"/>
                <w:szCs w:val="16"/>
              </w:rPr>
              <w:t>LIII/738/18 z dnia 27.06 2018r.</w:t>
            </w:r>
          </w:p>
          <w:p w:rsidR="00BB4899" w:rsidRPr="002A1D15" w:rsidRDefault="00BB4899" w:rsidP="00BB4899">
            <w:pPr>
              <w:autoSpaceDE w:val="0"/>
              <w:autoSpaceDN w:val="0"/>
              <w:adjustRightInd w:val="0"/>
              <w:spacing w:after="0" w:line="240" w:lineRule="auto"/>
              <w:rPr>
                <w:rFonts w:ascii="Verdana" w:hAnsi="Verdana" w:cs="TimesNewRomanPSMT"/>
                <w:sz w:val="16"/>
                <w:szCs w:val="16"/>
              </w:rPr>
            </w:pPr>
            <w:r w:rsidRPr="002A1D15">
              <w:rPr>
                <w:rFonts w:ascii="Verdana" w:eastAsia="Times New Roman" w:hAnsi="Verdana" w:cs="Times New Roman"/>
                <w:sz w:val="16"/>
                <w:szCs w:val="16"/>
              </w:rPr>
              <w:t>2.4MN; 2.7MN</w:t>
            </w:r>
            <w:r w:rsidR="002A1D15" w:rsidRPr="002A1D15">
              <w:rPr>
                <w:rFonts w:ascii="Verdana" w:eastAsia="Times New Roman" w:hAnsi="Verdana" w:cs="Times New Roman"/>
                <w:sz w:val="16"/>
                <w:szCs w:val="16"/>
              </w:rPr>
              <w:t>:</w:t>
            </w:r>
            <w:r w:rsidRPr="002A1D15">
              <w:rPr>
                <w:rFonts w:ascii="Verdana" w:eastAsia="Times New Roman" w:hAnsi="Verdana" w:cs="Times New Roman"/>
                <w:sz w:val="16"/>
                <w:szCs w:val="16"/>
              </w:rPr>
              <w:t xml:space="preserve"> </w:t>
            </w:r>
            <w:r w:rsidR="00932C5A" w:rsidRPr="002A1D15">
              <w:rPr>
                <w:rFonts w:ascii="Verdana" w:hAnsi="Verdana" w:cs="TimesNewRomanPSMT"/>
                <w:sz w:val="16"/>
                <w:szCs w:val="16"/>
              </w:rPr>
              <w:t xml:space="preserve"> </w:t>
            </w:r>
            <w:r w:rsidRPr="002A1D15">
              <w:rPr>
                <w:rFonts w:ascii="Verdana" w:hAnsi="Verdana" w:cs="TimesNewRomanPSMT"/>
                <w:sz w:val="16"/>
                <w:szCs w:val="16"/>
              </w:rPr>
              <w:t>brak ustaleń</w:t>
            </w:r>
            <w:r w:rsidR="002A1D15" w:rsidRPr="002A1D15">
              <w:rPr>
                <w:rFonts w:ascii="Verdana" w:hAnsi="Verdana" w:cs="TimesNewRomanPSMT"/>
                <w:sz w:val="16"/>
                <w:szCs w:val="16"/>
              </w:rPr>
              <w:t>;</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3.6MN</w:t>
            </w:r>
            <w:r w:rsidR="002A1D15" w:rsidRPr="002A1D15">
              <w:rPr>
                <w:rFonts w:ascii="Verdana" w:eastAsia="Times New Roman" w:hAnsi="Verdana" w:cs="Times New Roman"/>
                <w:sz w:val="16"/>
                <w:szCs w:val="16"/>
              </w:rPr>
              <w:t xml:space="preserve">: </w:t>
            </w:r>
            <w:r w:rsidR="00932C5A" w:rsidRPr="002A1D15">
              <w:rPr>
                <w:rFonts w:ascii="Verdana" w:hAnsi="Verdana" w:cs="TimesNewRomanPSMT"/>
                <w:sz w:val="16"/>
                <w:szCs w:val="16"/>
              </w:rPr>
              <w:t xml:space="preserve"> </w:t>
            </w:r>
            <w:r w:rsidRPr="002A1D15">
              <w:rPr>
                <w:rFonts w:ascii="Verdana" w:hAnsi="Verdana" w:cs="TimesNewRomanPSMT"/>
                <w:sz w:val="16"/>
                <w:szCs w:val="16"/>
              </w:rPr>
              <w:t>brak ustaleń</w:t>
            </w:r>
            <w:r w:rsidRPr="002A1D15">
              <w:rPr>
                <w:rFonts w:ascii="Verdana" w:eastAsia="Times New Roman" w:hAnsi="Verdana" w:cs="Times New Roman"/>
                <w:sz w:val="16"/>
                <w:szCs w:val="16"/>
              </w:rPr>
              <w:t xml:space="preserve"> </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4.10.MWn; 4.11.MWn; 4.12a.MWn</w:t>
            </w:r>
            <w:r w:rsidR="002A1D15" w:rsidRPr="002A1D15">
              <w:rPr>
                <w:rFonts w:ascii="Verdana" w:eastAsia="Times New Roman" w:hAnsi="Verdana" w:cs="Times New Roman"/>
                <w:sz w:val="16"/>
                <w:szCs w:val="16"/>
              </w:rPr>
              <w:t>:</w:t>
            </w:r>
          </w:p>
          <w:p w:rsidR="00BB4899" w:rsidRPr="002A1D15" w:rsidRDefault="00932C5A" w:rsidP="00BB4899">
            <w:pPr>
              <w:spacing w:after="0" w:line="240" w:lineRule="auto"/>
              <w:rPr>
                <w:rFonts w:ascii="Verdana" w:eastAsia="Times New Roman" w:hAnsi="Verdana" w:cs="Times New Roman"/>
                <w:sz w:val="16"/>
                <w:szCs w:val="16"/>
              </w:rPr>
            </w:pPr>
            <w:r w:rsidRPr="002A1D15">
              <w:rPr>
                <w:rFonts w:ascii="Verdana" w:hAnsi="Verdana" w:cs="TimesNewRomanPSMT"/>
                <w:sz w:val="16"/>
                <w:szCs w:val="16"/>
              </w:rPr>
              <w:t xml:space="preserve">- </w:t>
            </w:r>
            <w:r w:rsidR="00BB4899" w:rsidRPr="002A1D15">
              <w:rPr>
                <w:rFonts w:ascii="Verdana" w:hAnsi="Verdana" w:cs="TimesNewRomanPSMT"/>
                <w:sz w:val="16"/>
                <w:szCs w:val="16"/>
              </w:rPr>
              <w:t>brak ustaleń</w:t>
            </w:r>
            <w:r w:rsidR="002A1D15" w:rsidRPr="002A1D15">
              <w:rPr>
                <w:rFonts w:ascii="Verdana" w:hAnsi="Verdana" w:cs="TimesNewRomanPSMT"/>
                <w:sz w:val="16"/>
                <w:szCs w:val="16"/>
              </w:rPr>
              <w:t>;</w:t>
            </w:r>
            <w:r w:rsidR="00BB4899" w:rsidRPr="002A1D15">
              <w:rPr>
                <w:rFonts w:ascii="Verdana" w:eastAsia="Times New Roman" w:hAnsi="Verdana" w:cs="Times New Roman"/>
                <w:sz w:val="16"/>
                <w:szCs w:val="16"/>
              </w:rPr>
              <w:t xml:space="preserve"> </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16.40.KDD; 16.42.KDD;16.43.KDD;</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17.47.KDW; 17.49.KDW; 17.53.KDW;</w:t>
            </w:r>
          </w:p>
          <w:p w:rsidR="00BB4899" w:rsidRPr="002A1D15" w:rsidRDefault="002A1D15"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15.33.KDL; 14.32.KDZ: </w:t>
            </w:r>
            <w:r w:rsidR="00BB4899" w:rsidRPr="002A1D15">
              <w:rPr>
                <w:rFonts w:ascii="Verdana" w:eastAsia="Times New Roman" w:hAnsi="Verdana" w:cs="Times New Roman"/>
                <w:sz w:val="16"/>
                <w:szCs w:val="16"/>
              </w:rPr>
              <w:t xml:space="preserve"> brak ustaleń</w:t>
            </w:r>
            <w:r w:rsidRPr="002A1D15">
              <w:rPr>
                <w:rFonts w:ascii="Verdana" w:eastAsia="Times New Roman" w:hAnsi="Verdana" w:cs="Times New Roman"/>
                <w:sz w:val="16"/>
                <w:szCs w:val="16"/>
              </w:rPr>
              <w:t>;</w:t>
            </w:r>
            <w:r w:rsidR="00BB4899" w:rsidRPr="002A1D15">
              <w:rPr>
                <w:rFonts w:ascii="Verdana" w:eastAsia="Times New Roman" w:hAnsi="Verdana" w:cs="Times New Roman"/>
                <w:sz w:val="16"/>
                <w:szCs w:val="16"/>
              </w:rPr>
              <w:t xml:space="preserve"> </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8.18.ZP; 8.19.ZP</w:t>
            </w:r>
            <w:r w:rsidR="002A1D15" w:rsidRPr="002A1D15">
              <w:rPr>
                <w:rFonts w:ascii="Verdana" w:eastAsia="Times New Roman" w:hAnsi="Verdana" w:cs="Times New Roman"/>
                <w:sz w:val="16"/>
                <w:szCs w:val="16"/>
              </w:rPr>
              <w:t xml:space="preserve">: </w:t>
            </w:r>
            <w:r w:rsidR="00932C5A" w:rsidRPr="002A1D15">
              <w:rPr>
                <w:rFonts w:ascii="Verdana" w:hAnsi="Verdana" w:cs="TimesNewRomanPSMT"/>
                <w:sz w:val="16"/>
                <w:szCs w:val="16"/>
              </w:rPr>
              <w:t xml:space="preserve"> </w:t>
            </w:r>
            <w:r w:rsidRPr="002A1D15">
              <w:rPr>
                <w:rFonts w:ascii="Verdana" w:hAnsi="Verdana" w:cs="TimesNewRomanPSMT"/>
                <w:sz w:val="16"/>
                <w:szCs w:val="16"/>
              </w:rPr>
              <w:t>brak ustaleń</w:t>
            </w:r>
            <w:r w:rsidR="002A1D15" w:rsidRPr="002A1D15">
              <w:rPr>
                <w:rFonts w:ascii="Verdana" w:hAnsi="Verdana" w:cs="TimesNewRomanPSMT"/>
                <w:sz w:val="16"/>
                <w:szCs w:val="16"/>
              </w:rPr>
              <w:t>;</w:t>
            </w:r>
          </w:p>
          <w:p w:rsidR="00BB4899" w:rsidRPr="002A1D15" w:rsidRDefault="00BB4899" w:rsidP="00BB4899">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111; XVII/232/11 z dnia 21.12.2012r.</w:t>
            </w:r>
          </w:p>
          <w:p w:rsidR="00BB4899" w:rsidRPr="002A1D15" w:rsidRDefault="00BB4899" w:rsidP="00BB4899">
            <w:pPr>
              <w:spacing w:after="0"/>
              <w:rPr>
                <w:rFonts w:ascii="Verdana" w:eastAsia="Times New Roman" w:hAnsi="Verdana" w:cs="Times New Roman"/>
                <w:sz w:val="16"/>
                <w:szCs w:val="16"/>
              </w:rPr>
            </w:pPr>
            <w:r w:rsidRPr="002A1D15">
              <w:rPr>
                <w:rFonts w:ascii="Verdana" w:eastAsia="Times New Roman" w:hAnsi="Verdana" w:cs="Times New Roman"/>
                <w:sz w:val="16"/>
                <w:szCs w:val="16"/>
              </w:rPr>
              <w:t>01.30.MN; 01.46.MN</w:t>
            </w:r>
            <w:r w:rsidR="002A1D15" w:rsidRPr="002A1D15">
              <w:rPr>
                <w:rFonts w:ascii="Verdana" w:eastAsia="Times New Roman" w:hAnsi="Verdana" w:cs="Times New Roman"/>
                <w:sz w:val="16"/>
                <w:szCs w:val="16"/>
              </w:rPr>
              <w:t>:</w:t>
            </w:r>
          </w:p>
          <w:p w:rsidR="00BB4899" w:rsidRPr="002A1D15" w:rsidRDefault="004306A6" w:rsidP="00BB4899">
            <w:pPr>
              <w:autoSpaceDE w:val="0"/>
              <w:autoSpaceDN w:val="0"/>
              <w:adjustRightInd w:val="0"/>
              <w:spacing w:after="0" w:line="240" w:lineRule="auto"/>
              <w:rPr>
                <w:rFonts w:ascii="Verdana" w:hAnsi="Verdana" w:cs="TimesNewRomanPSMT"/>
                <w:sz w:val="16"/>
                <w:szCs w:val="16"/>
              </w:rPr>
            </w:pPr>
            <w:r w:rsidRPr="002A1D15">
              <w:rPr>
                <w:rFonts w:ascii="Verdana" w:hAnsi="Verdana" w:cs="TimesNewRomanPSMT"/>
                <w:sz w:val="16"/>
                <w:szCs w:val="16"/>
              </w:rPr>
              <w:t xml:space="preserve">- </w:t>
            </w:r>
            <w:r w:rsidR="00BB4899" w:rsidRPr="002A1D15">
              <w:rPr>
                <w:rFonts w:ascii="Verdana" w:hAnsi="Verdana" w:cs="TimesNewRomanPSMT"/>
                <w:sz w:val="16"/>
                <w:szCs w:val="16"/>
              </w:rPr>
              <w:t>dla zabudowy wolnostojącej i bliźniaczej maksymalnie 25% w stosunku do powierzchni działki,</w:t>
            </w:r>
          </w:p>
          <w:p w:rsidR="00BB4899" w:rsidRPr="002A1D15" w:rsidRDefault="00BB4899" w:rsidP="00BB4899">
            <w:pPr>
              <w:autoSpaceDE w:val="0"/>
              <w:autoSpaceDN w:val="0"/>
              <w:adjustRightInd w:val="0"/>
              <w:spacing w:after="0" w:line="240" w:lineRule="auto"/>
              <w:rPr>
                <w:rFonts w:ascii="Verdana" w:hAnsi="Verdana" w:cs="TimesNewRomanPSMT"/>
                <w:sz w:val="16"/>
                <w:szCs w:val="16"/>
              </w:rPr>
            </w:pPr>
            <w:r w:rsidRPr="002A1D15">
              <w:rPr>
                <w:rFonts w:ascii="Verdana" w:hAnsi="Verdana" w:cs="TimesNewRomanPSMT"/>
                <w:sz w:val="16"/>
                <w:szCs w:val="16"/>
              </w:rPr>
              <w:t>–</w:t>
            </w:r>
            <w:r w:rsidR="004306A6" w:rsidRPr="002A1D15">
              <w:rPr>
                <w:rFonts w:ascii="Verdana" w:hAnsi="Verdana" w:cs="TimesNewRomanPSMT"/>
                <w:sz w:val="16"/>
                <w:szCs w:val="16"/>
              </w:rPr>
              <w:t xml:space="preserve"> </w:t>
            </w:r>
            <w:r w:rsidRPr="002A1D15">
              <w:rPr>
                <w:rFonts w:ascii="Verdana" w:hAnsi="Verdana" w:cs="TimesNewRomanPSMT"/>
                <w:sz w:val="16"/>
                <w:szCs w:val="16"/>
              </w:rPr>
              <w:t>dla zabudowy szeregowej</w:t>
            </w:r>
          </w:p>
          <w:p w:rsidR="00BB4899" w:rsidRPr="002A1D15" w:rsidRDefault="00BB4899" w:rsidP="00BB4899">
            <w:pPr>
              <w:autoSpaceDE w:val="0"/>
              <w:autoSpaceDN w:val="0"/>
              <w:adjustRightInd w:val="0"/>
              <w:spacing w:after="0" w:line="240" w:lineRule="auto"/>
              <w:rPr>
                <w:rFonts w:ascii="Verdana" w:hAnsi="Verdana" w:cs="TimesNewRomanPSMT"/>
                <w:sz w:val="16"/>
                <w:szCs w:val="16"/>
              </w:rPr>
            </w:pPr>
            <w:r w:rsidRPr="002A1D15">
              <w:rPr>
                <w:rFonts w:ascii="Verdana" w:hAnsi="Verdana" w:cs="TimesNewRomanPSMT"/>
                <w:sz w:val="16"/>
                <w:szCs w:val="16"/>
              </w:rPr>
              <w:t>maksymalnie 35% w stosunku do</w:t>
            </w:r>
          </w:p>
          <w:p w:rsidR="00BB4899" w:rsidRPr="002A1D15" w:rsidRDefault="00BB4899" w:rsidP="00BB4899">
            <w:pPr>
              <w:spacing w:after="0"/>
              <w:rPr>
                <w:rFonts w:ascii="Verdana" w:eastAsia="Times New Roman" w:hAnsi="Verdana" w:cs="Times New Roman"/>
                <w:sz w:val="16"/>
                <w:szCs w:val="16"/>
              </w:rPr>
            </w:pPr>
            <w:r w:rsidRPr="002A1D15">
              <w:rPr>
                <w:rFonts w:ascii="Verdana" w:hAnsi="Verdana" w:cs="TimesNewRomanPSMT"/>
                <w:sz w:val="16"/>
                <w:szCs w:val="16"/>
              </w:rPr>
              <w:t>powierzchni działki.</w:t>
            </w:r>
          </w:p>
          <w:p w:rsidR="00BB4899" w:rsidRPr="002A1D15" w:rsidRDefault="00BB4899" w:rsidP="00BB4899">
            <w:pPr>
              <w:spacing w:after="0"/>
              <w:rPr>
                <w:rFonts w:ascii="Verdana" w:hAnsi="Verdana" w:cs="TimesNewRomanPS-BoldMT"/>
                <w:bCs/>
                <w:sz w:val="16"/>
                <w:szCs w:val="16"/>
              </w:rPr>
            </w:pPr>
            <w:r w:rsidRPr="002A1D15">
              <w:rPr>
                <w:rFonts w:ascii="Verdana" w:eastAsia="Times New Roman" w:hAnsi="Verdana" w:cs="Times New Roman"/>
                <w:sz w:val="16"/>
                <w:szCs w:val="16"/>
              </w:rPr>
              <w:t xml:space="preserve">12.47.KDD; </w:t>
            </w:r>
            <w:r w:rsidRPr="002A1D15">
              <w:rPr>
                <w:rFonts w:ascii="Verdana" w:hAnsi="Verdana" w:cs="TimesNewRomanPS-BoldMT"/>
                <w:bCs/>
                <w:sz w:val="16"/>
                <w:szCs w:val="16"/>
              </w:rPr>
              <w:t>09.37.KDZ:</w:t>
            </w:r>
          </w:p>
          <w:p w:rsidR="00BB4899" w:rsidRPr="002A1D15" w:rsidRDefault="00BB4899" w:rsidP="00BB4899">
            <w:pPr>
              <w:spacing w:after="0"/>
            </w:pPr>
            <w:r w:rsidRPr="002A1D15">
              <w:rPr>
                <w:rFonts w:ascii="Verdana" w:hAnsi="Verdana" w:cs="TimesNewRomanPS-BoldMT"/>
                <w:bCs/>
                <w:sz w:val="16"/>
                <w:szCs w:val="16"/>
              </w:rPr>
              <w:t xml:space="preserve">- nie ustala się </w:t>
            </w:r>
            <w:r w:rsidR="002A1D15" w:rsidRPr="002A1D15">
              <w:rPr>
                <w:rFonts w:ascii="Verdana" w:hAnsi="Verdana" w:cs="TimesNewRomanPS-BoldMT"/>
                <w:bCs/>
                <w:sz w:val="16"/>
                <w:szCs w:val="16"/>
              </w:rPr>
              <w:t>;</w:t>
            </w:r>
          </w:p>
          <w:p w:rsidR="00BB4899" w:rsidRPr="002A1D15" w:rsidRDefault="00BB4899" w:rsidP="00BB4899">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15; XXXVIII/574/09 z dnia 27.05.2009r.</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28.MN ;29.MN</w:t>
            </w:r>
            <w:r w:rsidR="002A1D15" w:rsidRPr="002A1D15">
              <w:rPr>
                <w:rFonts w:ascii="Verdana" w:eastAsia="Times New Roman" w:hAnsi="Verdana" w:cs="Times New Roman"/>
                <w:sz w:val="16"/>
                <w:szCs w:val="16"/>
              </w:rPr>
              <w:t>:</w:t>
            </w:r>
            <w:r w:rsidRPr="002A1D15">
              <w:rPr>
                <w:rFonts w:ascii="Verdana" w:eastAsia="Times New Roman" w:hAnsi="Verdana" w:cs="Times New Roman"/>
                <w:sz w:val="16"/>
                <w:szCs w:val="16"/>
              </w:rPr>
              <w:t xml:space="preserve"> </w:t>
            </w:r>
          </w:p>
          <w:p w:rsidR="00BB4899" w:rsidRPr="002A1D15" w:rsidRDefault="004306A6" w:rsidP="00BB4899">
            <w:pPr>
              <w:autoSpaceDE w:val="0"/>
              <w:autoSpaceDN w:val="0"/>
              <w:adjustRightInd w:val="0"/>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 </w:t>
            </w:r>
            <w:r w:rsidR="00BB4899" w:rsidRPr="002A1D15">
              <w:rPr>
                <w:rFonts w:ascii="Verdana" w:hAnsi="Verdana" w:cs="Arial"/>
                <w:sz w:val="16"/>
                <w:szCs w:val="16"/>
              </w:rPr>
              <w:t>30%;</w:t>
            </w:r>
          </w:p>
          <w:p w:rsidR="00204EA4" w:rsidRPr="002A1D15" w:rsidRDefault="00BB4899" w:rsidP="00653B69">
            <w:pPr>
              <w:autoSpaceDE w:val="0"/>
              <w:autoSpaceDN w:val="0"/>
              <w:adjustRightInd w:val="0"/>
              <w:spacing w:after="120" w:line="240" w:lineRule="auto"/>
              <w:rPr>
                <w:rFonts w:ascii="Verdana" w:hAnsi="Verdana" w:cs="Arial"/>
                <w:sz w:val="16"/>
                <w:szCs w:val="16"/>
              </w:rPr>
            </w:pPr>
            <w:r w:rsidRPr="002A1D15">
              <w:rPr>
                <w:rFonts w:ascii="Verdana" w:eastAsia="Times New Roman" w:hAnsi="Verdana" w:cs="Times New Roman"/>
                <w:sz w:val="16"/>
                <w:szCs w:val="16"/>
              </w:rPr>
              <w:t xml:space="preserve">- </w:t>
            </w:r>
            <w:r w:rsidRPr="002A1D15">
              <w:rPr>
                <w:rFonts w:ascii="Verdana" w:hAnsi="Verdana" w:cs="Arial"/>
                <w:sz w:val="16"/>
                <w:szCs w:val="16"/>
              </w:rPr>
              <w:t>maksymalny wskaźnik powierzchni zabudowy dla jednego budynku mieszkalnego jednorodzinnego: 200m²;</w:t>
            </w:r>
          </w:p>
        </w:tc>
      </w:tr>
      <w:tr w:rsidR="00EA1C22" w:rsidRPr="00DE23F2" w:rsidTr="001F7FC1">
        <w:trPr>
          <w:trHeight w:val="16"/>
        </w:trPr>
        <w:tc>
          <w:tcPr>
            <w:tcW w:w="2958" w:type="dxa"/>
            <w:vMerge/>
            <w:shd w:val="clear" w:color="auto" w:fill="F3F3F3"/>
          </w:tcPr>
          <w:p w:rsidR="00EA1C22" w:rsidRPr="001E2DE3"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1E130F" w:rsidRDefault="00EA1C22" w:rsidP="00D80E3E">
            <w:pPr>
              <w:spacing w:beforeLines="60" w:afterLines="60" w:line="240" w:lineRule="auto"/>
              <w:rPr>
                <w:rFonts w:ascii="Verdana" w:eastAsia="Times New Roman" w:hAnsi="Verdana" w:cs="Times New Roman"/>
                <w:sz w:val="16"/>
                <w:szCs w:val="16"/>
              </w:rPr>
            </w:pPr>
            <w:r w:rsidRPr="001E130F">
              <w:rPr>
                <w:rFonts w:ascii="Verdana" w:eastAsia="Times New Roman" w:hAnsi="Verdana" w:cs="Times New Roman"/>
                <w:sz w:val="16"/>
                <w:szCs w:val="16"/>
                <w:lang w:eastAsia="pl-PL"/>
              </w:rPr>
              <w:t>Maksymalna wysokość zabudowy</w:t>
            </w:r>
          </w:p>
        </w:tc>
        <w:tc>
          <w:tcPr>
            <w:tcW w:w="3600" w:type="dxa"/>
            <w:shd w:val="clear" w:color="auto" w:fill="auto"/>
          </w:tcPr>
          <w:p w:rsidR="00E33669" w:rsidRPr="00C37F70" w:rsidRDefault="00E33669" w:rsidP="00653B69">
            <w:pPr>
              <w:spacing w:before="120"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970C5E"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2.7MN</w:t>
            </w:r>
            <w:r w:rsidR="00970C5E" w:rsidRPr="00C37F70">
              <w:rPr>
                <w:rFonts w:ascii="Verdana" w:eastAsia="Times New Roman" w:hAnsi="Verdana" w:cs="Times New Roman"/>
                <w:sz w:val="16"/>
                <w:szCs w:val="16"/>
              </w:rPr>
              <w:t xml:space="preserve">; 3.6MN: </w:t>
            </w:r>
          </w:p>
          <w:p w:rsidR="00970C5E" w:rsidRPr="00C37F70" w:rsidRDefault="00970C5E" w:rsidP="00970C5E">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do 9m, maksymalnie dwie kondygnacje nadziemne,</w:t>
            </w:r>
          </w:p>
          <w:p w:rsidR="00970C5E" w:rsidRPr="00C37F70" w:rsidRDefault="00970C5E" w:rsidP="00653B69">
            <w:pPr>
              <w:autoSpaceDE w:val="0"/>
              <w:autoSpaceDN w:val="0"/>
              <w:adjustRightInd w:val="0"/>
              <w:spacing w:after="0" w:line="240" w:lineRule="auto"/>
              <w:rPr>
                <w:rFonts w:ascii="Verdana" w:eastAsia="Times New Roman" w:hAnsi="Verdana" w:cs="Times New Roman"/>
                <w:sz w:val="16"/>
                <w:szCs w:val="16"/>
              </w:rPr>
            </w:pPr>
            <w:r w:rsidRPr="00C37F70">
              <w:rPr>
                <w:rFonts w:ascii="Verdana" w:hAnsi="Verdana" w:cs="TimesNewRomanPSMT"/>
                <w:sz w:val="16"/>
                <w:szCs w:val="16"/>
              </w:rPr>
              <w:t>– dla garaży i budynków gospodarczych dopuszcza się wysokość</w:t>
            </w:r>
            <w:r w:rsidR="00653B69">
              <w:rPr>
                <w:rFonts w:ascii="Verdana" w:hAnsi="Verdana" w:cs="TimesNewRomanPSMT"/>
                <w:sz w:val="16"/>
                <w:szCs w:val="16"/>
              </w:rPr>
              <w:t xml:space="preserve"> </w:t>
            </w:r>
            <w:r w:rsidRPr="00C37F70">
              <w:rPr>
                <w:rFonts w:ascii="Verdana" w:hAnsi="Verdana" w:cs="TimesNewRomanPSMT"/>
                <w:sz w:val="16"/>
                <w:szCs w:val="16"/>
              </w:rPr>
              <w:t>do 7m,</w:t>
            </w:r>
          </w:p>
          <w:p w:rsidR="00DE23F2" w:rsidRPr="00C37F70" w:rsidRDefault="00E33669" w:rsidP="00DE23F2">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970C5E"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4.11.MWn</w:t>
            </w:r>
            <w:r w:rsidR="00970C5E" w:rsidRPr="00C37F70">
              <w:rPr>
                <w:rFonts w:ascii="Verdana" w:eastAsia="Times New Roman" w:hAnsi="Verdana" w:cs="Times New Roman"/>
                <w:sz w:val="16"/>
                <w:szCs w:val="16"/>
              </w:rPr>
              <w:t>; 4.12a.MWn:</w:t>
            </w:r>
          </w:p>
          <w:p w:rsidR="00970C5E" w:rsidRPr="00C37F70" w:rsidRDefault="00970C5E" w:rsidP="00DE23F2">
            <w:pPr>
              <w:spacing w:after="0" w:line="240" w:lineRule="auto"/>
              <w:rPr>
                <w:rFonts w:ascii="Verdana" w:eastAsia="Times New Roman" w:hAnsi="Verdana" w:cs="Times New Roman"/>
                <w:sz w:val="16"/>
                <w:szCs w:val="16"/>
              </w:rPr>
            </w:pPr>
            <w:r w:rsidRPr="00C37F70">
              <w:rPr>
                <w:rFonts w:ascii="Verdana" w:hAnsi="Verdana" w:cs="TimesNewRomanPSMT"/>
                <w:sz w:val="16"/>
                <w:szCs w:val="16"/>
              </w:rPr>
              <w:t>– do 9m,</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16.40.KDD</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16.42.KDD</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16.43.KDD</w:t>
            </w:r>
            <w:r w:rsidR="001126E4" w:rsidRPr="00C37F70">
              <w:rPr>
                <w:rFonts w:ascii="Verdana" w:eastAsia="Times New Roman" w:hAnsi="Verdana" w:cs="Times New Roman"/>
                <w:sz w:val="16"/>
                <w:szCs w:val="16"/>
              </w:rPr>
              <w:t>;</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17.49.KDW</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17.53.KDW</w:t>
            </w:r>
            <w:r w:rsidR="001126E4" w:rsidRPr="00C37F70">
              <w:rPr>
                <w:rFonts w:ascii="Verdana" w:eastAsia="Times New Roman" w:hAnsi="Verdana" w:cs="Times New Roman"/>
                <w:sz w:val="16"/>
                <w:szCs w:val="16"/>
              </w:rPr>
              <w:t>;</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1126E4" w:rsidRPr="00C37F70">
              <w:rPr>
                <w:rFonts w:ascii="Verdana" w:eastAsia="Times New Roman" w:hAnsi="Verdana" w:cs="Times New Roman"/>
                <w:sz w:val="16"/>
                <w:szCs w:val="16"/>
              </w:rPr>
              <w:t>:</w:t>
            </w:r>
          </w:p>
          <w:p w:rsidR="001126E4" w:rsidRPr="00C37F70" w:rsidRDefault="001126E4"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r w:rsidR="002A1D15">
              <w:rPr>
                <w:rFonts w:ascii="Verdana" w:eastAsia="Times New Roman" w:hAnsi="Verdana" w:cs="Times New Roman"/>
                <w:sz w:val="16"/>
                <w:szCs w:val="16"/>
              </w:rPr>
              <w:t>;</w:t>
            </w:r>
          </w:p>
          <w:p w:rsidR="001126E4"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8.19.ZP</w:t>
            </w:r>
            <w:r w:rsidR="001126E4" w:rsidRPr="00C37F70">
              <w:rPr>
                <w:rFonts w:ascii="Verdana" w:eastAsia="Times New Roman" w:hAnsi="Verdana" w:cs="Times New Roman"/>
                <w:sz w:val="16"/>
                <w:szCs w:val="16"/>
              </w:rPr>
              <w:t>:</w:t>
            </w:r>
            <w:r w:rsidR="002A1D15">
              <w:rPr>
                <w:rFonts w:ascii="Verdana" w:eastAsia="Times New Roman" w:hAnsi="Verdana" w:cs="Times New Roman"/>
                <w:sz w:val="16"/>
                <w:szCs w:val="16"/>
              </w:rPr>
              <w:t xml:space="preserve"> </w:t>
            </w:r>
            <w:r w:rsidR="001126E4" w:rsidRPr="00C37F70">
              <w:rPr>
                <w:rFonts w:ascii="Verdana" w:hAnsi="Verdana" w:cs="TimesNewRomanPSMT"/>
                <w:sz w:val="16"/>
                <w:szCs w:val="16"/>
              </w:rPr>
              <w:t>8m</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1E130F" w:rsidRPr="00C37F70" w:rsidRDefault="001E2DE3" w:rsidP="001E2DE3">
            <w:pPr>
              <w:spacing w:after="0"/>
              <w:rPr>
                <w:rFonts w:ascii="Verdana" w:eastAsia="Times New Roman" w:hAnsi="Verdana" w:cs="Times New Roman"/>
                <w:sz w:val="16"/>
                <w:szCs w:val="16"/>
              </w:rPr>
            </w:pPr>
            <w:r w:rsidRPr="00C37F70">
              <w:rPr>
                <w:rFonts w:ascii="Verdana" w:eastAsia="Times New Roman" w:hAnsi="Verdana" w:cs="Times New Roman"/>
                <w:sz w:val="16"/>
                <w:szCs w:val="16"/>
              </w:rPr>
              <w:t>01.30.MN</w:t>
            </w:r>
            <w:r w:rsidR="001E130F" w:rsidRPr="00C37F70">
              <w:rPr>
                <w:rFonts w:ascii="Verdana" w:eastAsia="Times New Roman" w:hAnsi="Verdana" w:cs="Times New Roman"/>
                <w:sz w:val="16"/>
                <w:szCs w:val="16"/>
              </w:rPr>
              <w:t>; 01.46.MN:</w:t>
            </w:r>
          </w:p>
          <w:p w:rsidR="001E130F" w:rsidRPr="00C37F70" w:rsidRDefault="001E130F" w:rsidP="001E130F">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w:t>
            </w:r>
            <w:r w:rsidR="002A1D15">
              <w:rPr>
                <w:rFonts w:ascii="Verdana" w:hAnsi="Verdana" w:cs="TimesNewRomanPSMT"/>
                <w:sz w:val="16"/>
                <w:szCs w:val="16"/>
              </w:rPr>
              <w:t xml:space="preserve"> </w:t>
            </w:r>
            <w:r w:rsidRPr="00C37F70">
              <w:rPr>
                <w:rFonts w:ascii="Verdana" w:hAnsi="Verdana" w:cs="TimesNewRomanPSMT"/>
                <w:sz w:val="16"/>
                <w:szCs w:val="16"/>
              </w:rPr>
              <w:t>2 kondygnacje nadziemne,</w:t>
            </w:r>
          </w:p>
          <w:p w:rsidR="001E2DE3" w:rsidRPr="00C37F70" w:rsidRDefault="001E130F" w:rsidP="001E130F">
            <w:pPr>
              <w:spacing w:after="0"/>
              <w:rPr>
                <w:rFonts w:ascii="Verdana" w:hAnsi="Verdana"/>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od 7 do 10 m.</w:t>
            </w:r>
            <w:r w:rsidR="001E2DE3" w:rsidRPr="00C37F70">
              <w:rPr>
                <w:rFonts w:ascii="Verdana" w:eastAsia="Times New Roman" w:hAnsi="Verdana" w:cs="Times New Roman"/>
                <w:sz w:val="16"/>
                <w:szCs w:val="16"/>
              </w:rPr>
              <w:t xml:space="preserve"> </w:t>
            </w:r>
          </w:p>
          <w:p w:rsidR="0083049F" w:rsidRPr="00C37F70" w:rsidRDefault="001E2DE3" w:rsidP="002A1D15">
            <w:pPr>
              <w:spacing w:after="0"/>
              <w:rPr>
                <w:rFonts w:ascii="Verdana" w:eastAsia="Times New Roman" w:hAnsi="Verdana" w:cs="Times New Roman"/>
                <w:sz w:val="16"/>
                <w:szCs w:val="16"/>
              </w:rPr>
            </w:pPr>
            <w:r w:rsidRPr="00C37F70">
              <w:rPr>
                <w:rFonts w:ascii="Verdana" w:eastAsia="Times New Roman" w:hAnsi="Verdana" w:cs="Times New Roman"/>
                <w:sz w:val="16"/>
                <w:szCs w:val="16"/>
              </w:rPr>
              <w:t>12.47.KDD</w:t>
            </w:r>
            <w:r w:rsidR="0083049F" w:rsidRPr="00C37F70">
              <w:rPr>
                <w:rFonts w:ascii="Verdana" w:eastAsia="Times New Roman" w:hAnsi="Verdana" w:cs="Times New Roman"/>
                <w:sz w:val="16"/>
                <w:szCs w:val="16"/>
              </w:rPr>
              <w:t xml:space="preserve">; </w:t>
            </w:r>
            <w:r w:rsidR="002A1D15">
              <w:rPr>
                <w:rFonts w:ascii="Verdana" w:hAnsi="Verdana" w:cs="TimesNewRomanPS-BoldMT"/>
                <w:bCs/>
                <w:sz w:val="16"/>
                <w:szCs w:val="16"/>
              </w:rPr>
              <w:t xml:space="preserve">09.37.KDZ: </w:t>
            </w:r>
            <w:r w:rsidR="0083049F" w:rsidRPr="00C37F70">
              <w:rPr>
                <w:rFonts w:ascii="Verdana" w:eastAsia="Times New Roman" w:hAnsi="Verdana" w:cs="Times New Roman"/>
                <w:sz w:val="16"/>
                <w:szCs w:val="16"/>
              </w:rPr>
              <w:t xml:space="preserve"> brak ustaleń</w:t>
            </w:r>
            <w:r w:rsidR="002A1D15">
              <w:rPr>
                <w:rFonts w:ascii="Verdana" w:eastAsia="Times New Roman" w:hAnsi="Verdana" w:cs="Times New Roman"/>
                <w:sz w:val="16"/>
                <w:szCs w:val="16"/>
              </w:rPr>
              <w:t>;</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15; XXXVIII/574/09 z dnia 27.05.2009r.</w:t>
            </w:r>
          </w:p>
          <w:p w:rsidR="001E2DE3" w:rsidRPr="00C37F70" w:rsidRDefault="001E2DE3" w:rsidP="005A0DDA">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28.MN</w:t>
            </w:r>
            <w:r w:rsidR="005A0DDA" w:rsidRPr="00C37F70">
              <w:rPr>
                <w:rFonts w:ascii="Verdana" w:eastAsia="Times New Roman" w:hAnsi="Verdana" w:cs="Times New Roman"/>
                <w:sz w:val="16"/>
                <w:szCs w:val="16"/>
              </w:rPr>
              <w:t xml:space="preserve">; </w:t>
            </w:r>
            <w:r w:rsidR="00786A8C" w:rsidRPr="00C37F70">
              <w:rPr>
                <w:rFonts w:ascii="Verdana" w:eastAsia="Times New Roman" w:hAnsi="Verdana" w:cs="Times New Roman"/>
                <w:sz w:val="16"/>
                <w:szCs w:val="16"/>
              </w:rPr>
              <w:t>29</w:t>
            </w:r>
            <w:r w:rsidR="002A1D15">
              <w:rPr>
                <w:rFonts w:ascii="Verdana" w:eastAsia="Times New Roman" w:hAnsi="Verdana" w:cs="Times New Roman"/>
                <w:sz w:val="16"/>
                <w:szCs w:val="16"/>
              </w:rPr>
              <w:t>.MN:</w:t>
            </w:r>
          </w:p>
          <w:p w:rsidR="004306A6" w:rsidRDefault="00786A8C" w:rsidP="00786A8C">
            <w:pPr>
              <w:autoSpaceDE w:val="0"/>
              <w:autoSpaceDN w:val="0"/>
              <w:adjustRightInd w:val="0"/>
              <w:spacing w:after="0" w:line="240" w:lineRule="auto"/>
              <w:rPr>
                <w:rFonts w:ascii="Verdana" w:hAnsi="Verdana" w:cs="Arial"/>
                <w:sz w:val="16"/>
                <w:szCs w:val="16"/>
              </w:rPr>
            </w:pPr>
            <w:r w:rsidRPr="00C37F70">
              <w:rPr>
                <w:rFonts w:ascii="Verdana" w:hAnsi="Verdana" w:cs="Symbol"/>
                <w:sz w:val="16"/>
                <w:szCs w:val="16"/>
              </w:rPr>
              <w:t xml:space="preserve">- </w:t>
            </w:r>
            <w:r w:rsidRPr="00C37F70">
              <w:rPr>
                <w:rFonts w:ascii="Verdana" w:hAnsi="Verdana" w:cs="Arial"/>
                <w:sz w:val="16"/>
                <w:szCs w:val="16"/>
              </w:rPr>
              <w:t xml:space="preserve">od 7m do 9m, </w:t>
            </w:r>
          </w:p>
          <w:p w:rsidR="00786A8C" w:rsidRPr="00C37F70" w:rsidRDefault="004306A6" w:rsidP="00786A8C">
            <w:pPr>
              <w:autoSpaceDE w:val="0"/>
              <w:autoSpaceDN w:val="0"/>
              <w:adjustRightInd w:val="0"/>
              <w:spacing w:after="0" w:line="240" w:lineRule="auto"/>
              <w:rPr>
                <w:rFonts w:ascii="Verdana" w:hAnsi="Verdana" w:cs="Arial"/>
                <w:sz w:val="16"/>
                <w:szCs w:val="16"/>
              </w:rPr>
            </w:pPr>
            <w:r>
              <w:rPr>
                <w:rFonts w:ascii="Verdana" w:hAnsi="Verdana" w:cs="Arial"/>
                <w:sz w:val="16"/>
                <w:szCs w:val="16"/>
              </w:rPr>
              <w:t xml:space="preserve">- </w:t>
            </w:r>
            <w:r w:rsidR="00786A8C" w:rsidRPr="00C37F70">
              <w:rPr>
                <w:rFonts w:ascii="Verdana" w:hAnsi="Verdana" w:cs="Arial"/>
                <w:sz w:val="16"/>
                <w:szCs w:val="16"/>
              </w:rPr>
              <w:t xml:space="preserve"> dwie kondygnacje nadziemne,</w:t>
            </w:r>
          </w:p>
          <w:p w:rsidR="002A1D15" w:rsidRDefault="00786A8C" w:rsidP="006A1BE7">
            <w:pPr>
              <w:autoSpaceDE w:val="0"/>
              <w:autoSpaceDN w:val="0"/>
              <w:adjustRightInd w:val="0"/>
              <w:spacing w:after="0" w:line="240" w:lineRule="auto"/>
              <w:rPr>
                <w:rFonts w:ascii="Verdana" w:hAnsi="Verdana" w:cs="Arial"/>
                <w:sz w:val="16"/>
                <w:szCs w:val="16"/>
              </w:rPr>
            </w:pPr>
            <w:r w:rsidRPr="00C37F70">
              <w:rPr>
                <w:rFonts w:ascii="Verdana" w:hAnsi="Verdana" w:cs="Symbol"/>
                <w:sz w:val="16"/>
                <w:szCs w:val="16"/>
              </w:rPr>
              <w:t xml:space="preserve">- </w:t>
            </w:r>
            <w:r w:rsidRPr="00C37F70">
              <w:rPr>
                <w:rFonts w:ascii="Verdana" w:hAnsi="Verdana" w:cs="Arial"/>
                <w:sz w:val="16"/>
                <w:szCs w:val="16"/>
              </w:rPr>
              <w:t>dla garaży i budynków gospodarczych</w:t>
            </w:r>
          </w:p>
          <w:p w:rsidR="00EA1C22" w:rsidRPr="004306A6" w:rsidRDefault="006A1BE7" w:rsidP="006A1BE7">
            <w:pPr>
              <w:autoSpaceDE w:val="0"/>
              <w:autoSpaceDN w:val="0"/>
              <w:adjustRightInd w:val="0"/>
              <w:spacing w:after="0" w:line="240" w:lineRule="auto"/>
              <w:rPr>
                <w:rFonts w:ascii="Verdana" w:eastAsia="Times New Roman" w:hAnsi="Verdana" w:cs="Times New Roman"/>
                <w:sz w:val="16"/>
                <w:szCs w:val="16"/>
              </w:rPr>
            </w:pPr>
            <w:r>
              <w:rPr>
                <w:rFonts w:ascii="Verdana" w:hAnsi="Verdana" w:cs="Arial"/>
                <w:sz w:val="16"/>
                <w:szCs w:val="16"/>
              </w:rPr>
              <w:t xml:space="preserve">   </w:t>
            </w:r>
            <w:r w:rsidR="00786A8C" w:rsidRPr="00C37F70">
              <w:rPr>
                <w:rFonts w:ascii="Verdana" w:hAnsi="Verdana" w:cs="Arial"/>
                <w:sz w:val="16"/>
                <w:szCs w:val="16"/>
              </w:rPr>
              <w:t>dopuszcza się wysokość do 7m;</w:t>
            </w:r>
          </w:p>
        </w:tc>
      </w:tr>
      <w:tr w:rsidR="00EA1C22" w:rsidRPr="00BC2537" w:rsidTr="001F7FC1">
        <w:trPr>
          <w:trHeight w:val="16"/>
        </w:trPr>
        <w:tc>
          <w:tcPr>
            <w:tcW w:w="2958" w:type="dxa"/>
            <w:vMerge/>
            <w:shd w:val="clear" w:color="auto" w:fill="F3F3F3"/>
          </w:tcPr>
          <w:p w:rsidR="00EA1C22" w:rsidRPr="00786A8C"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Minimalny udział procentowy powierzchni biologicznie czynnej</w:t>
            </w:r>
          </w:p>
        </w:tc>
        <w:tc>
          <w:tcPr>
            <w:tcW w:w="3600" w:type="dxa"/>
            <w:shd w:val="clear" w:color="auto" w:fill="auto"/>
          </w:tcPr>
          <w:p w:rsidR="001E2DE3" w:rsidRPr="00C37F70" w:rsidRDefault="001E2DE3" w:rsidP="00334BF7">
            <w:pPr>
              <w:spacing w:before="120" w:after="120" w:line="240" w:lineRule="auto"/>
              <w:rPr>
                <w:rFonts w:ascii="Verdana" w:hAnsi="Verdana"/>
                <w:b/>
                <w:sz w:val="16"/>
                <w:szCs w:val="16"/>
              </w:rPr>
            </w:pPr>
            <w:r w:rsidRPr="00C37F70">
              <w:rPr>
                <w:rFonts w:ascii="Verdana" w:eastAsia="Times New Roman" w:hAnsi="Verdana" w:cs="Times New Roman"/>
                <w:b/>
                <w:sz w:val="16"/>
                <w:szCs w:val="16"/>
              </w:rPr>
              <w:t xml:space="preserve">plan nr 153; </w:t>
            </w:r>
            <w:r w:rsidRPr="00C37F70">
              <w:rPr>
                <w:rFonts w:ascii="Verdana" w:hAnsi="Verdana"/>
                <w:b/>
                <w:sz w:val="16"/>
                <w:szCs w:val="16"/>
              </w:rPr>
              <w:t>LIII/738/18 z dnia 27.06 2018r.</w:t>
            </w:r>
          </w:p>
          <w:p w:rsidR="00E33669" w:rsidRPr="00C37F70" w:rsidRDefault="00E33669"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2.7MN</w:t>
            </w:r>
            <w:r w:rsidR="001126E4" w:rsidRPr="00C37F70">
              <w:rPr>
                <w:rFonts w:ascii="Verdana" w:eastAsia="Times New Roman" w:hAnsi="Verdana" w:cs="Times New Roman"/>
                <w:sz w:val="16"/>
                <w:szCs w:val="16"/>
              </w:rPr>
              <w:t>:</w:t>
            </w:r>
          </w:p>
          <w:p w:rsidR="001126E4" w:rsidRPr="00C37F70" w:rsidRDefault="001126E4" w:rsidP="00334BF7">
            <w:pPr>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50% w stosunku do powierzchni działki</w:t>
            </w:r>
          </w:p>
          <w:p w:rsidR="00E33669" w:rsidRPr="00C37F70" w:rsidRDefault="00E33669"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3.6MN</w:t>
            </w:r>
            <w:r w:rsidR="001126E4" w:rsidRPr="00C37F70">
              <w:rPr>
                <w:rFonts w:ascii="Verdana" w:eastAsia="Times New Roman" w:hAnsi="Verdana" w:cs="Times New Roman"/>
                <w:sz w:val="16"/>
                <w:szCs w:val="16"/>
              </w:rPr>
              <w:t>:</w:t>
            </w:r>
          </w:p>
          <w:p w:rsidR="001126E4" w:rsidRPr="00C37F70" w:rsidRDefault="001126E4" w:rsidP="00334BF7">
            <w:pPr>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60% w stosunku do powierzchni działki</w:t>
            </w:r>
          </w:p>
          <w:p w:rsidR="00DE23F2" w:rsidRPr="00C37F70" w:rsidRDefault="00E33669"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4.11.MWn</w:t>
            </w:r>
            <w:r w:rsidR="001126E4" w:rsidRPr="00C37F70">
              <w:rPr>
                <w:rFonts w:ascii="Verdana" w:eastAsia="Times New Roman" w:hAnsi="Verdana" w:cs="Times New Roman"/>
                <w:sz w:val="16"/>
                <w:szCs w:val="16"/>
              </w:rPr>
              <w:t>; 4.12a.MWn:</w:t>
            </w:r>
          </w:p>
          <w:p w:rsidR="001126E4" w:rsidRPr="00C37F70" w:rsidRDefault="001126E4" w:rsidP="00334BF7">
            <w:pPr>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50% w stosunku do powierzchni działki,</w:t>
            </w:r>
          </w:p>
          <w:p w:rsidR="0026270D" w:rsidRPr="00C37F70" w:rsidRDefault="0026270D"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16.40.KDD</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16.42.KDD</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16.43.KDD</w:t>
            </w:r>
            <w:r w:rsidR="0087431C" w:rsidRPr="00C37F70">
              <w:rPr>
                <w:rFonts w:ascii="Verdana" w:eastAsia="Times New Roman" w:hAnsi="Verdana" w:cs="Times New Roman"/>
                <w:sz w:val="16"/>
                <w:szCs w:val="16"/>
              </w:rPr>
              <w:t>;</w:t>
            </w:r>
          </w:p>
          <w:p w:rsidR="0026270D" w:rsidRPr="00C37F70" w:rsidRDefault="0026270D"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17.49.KDW</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17.53.KDW</w:t>
            </w:r>
            <w:r w:rsidR="0087431C" w:rsidRPr="00C37F70">
              <w:rPr>
                <w:rFonts w:ascii="Verdana" w:eastAsia="Times New Roman" w:hAnsi="Verdana" w:cs="Times New Roman"/>
                <w:sz w:val="16"/>
                <w:szCs w:val="16"/>
              </w:rPr>
              <w:t>;</w:t>
            </w:r>
          </w:p>
          <w:p w:rsidR="0026270D" w:rsidRPr="00C37F70" w:rsidRDefault="0026270D"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8.19.ZP</w:t>
            </w:r>
            <w:r w:rsidR="0087431C" w:rsidRPr="00C37F70">
              <w:rPr>
                <w:rFonts w:ascii="Verdana" w:eastAsia="Times New Roman" w:hAnsi="Verdana" w:cs="Times New Roman"/>
                <w:sz w:val="16"/>
                <w:szCs w:val="16"/>
              </w:rPr>
              <w:t>:</w:t>
            </w:r>
          </w:p>
          <w:p w:rsidR="0087431C" w:rsidRPr="00C37F70" w:rsidRDefault="0087431C" w:rsidP="004306A6">
            <w:pPr>
              <w:spacing w:after="12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p>
          <w:p w:rsidR="001E2DE3" w:rsidRPr="00C37F70" w:rsidRDefault="001E2DE3" w:rsidP="00334BF7">
            <w:pPr>
              <w:spacing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1E2DE3" w:rsidRPr="006A1BE7" w:rsidRDefault="001E2DE3" w:rsidP="004306A6">
            <w:pPr>
              <w:spacing w:after="0"/>
              <w:rPr>
                <w:rFonts w:ascii="Verdana" w:eastAsia="Times New Roman" w:hAnsi="Verdana" w:cs="Times New Roman"/>
                <w:sz w:val="16"/>
                <w:szCs w:val="16"/>
              </w:rPr>
            </w:pPr>
            <w:r w:rsidRPr="006A1BE7">
              <w:rPr>
                <w:rFonts w:ascii="Verdana" w:eastAsia="Times New Roman" w:hAnsi="Verdana" w:cs="Times New Roman"/>
                <w:sz w:val="16"/>
                <w:szCs w:val="16"/>
              </w:rPr>
              <w:t>01.30.MN</w:t>
            </w:r>
            <w:r w:rsidR="001E130F" w:rsidRPr="006A1BE7">
              <w:rPr>
                <w:rFonts w:ascii="Verdana" w:eastAsia="Times New Roman" w:hAnsi="Verdana" w:cs="Times New Roman"/>
                <w:sz w:val="16"/>
                <w:szCs w:val="16"/>
              </w:rPr>
              <w:t xml:space="preserve">; </w:t>
            </w:r>
            <w:r w:rsidRPr="006A1BE7">
              <w:rPr>
                <w:rFonts w:ascii="Verdana" w:eastAsia="Times New Roman" w:hAnsi="Verdana" w:cs="Times New Roman"/>
                <w:sz w:val="16"/>
                <w:szCs w:val="16"/>
              </w:rPr>
              <w:t xml:space="preserve">01.46.MN </w:t>
            </w:r>
          </w:p>
          <w:p w:rsidR="001E130F" w:rsidRPr="006A1BE7" w:rsidRDefault="001E130F" w:rsidP="004306A6">
            <w:pPr>
              <w:autoSpaceDE w:val="0"/>
              <w:autoSpaceDN w:val="0"/>
              <w:adjustRightInd w:val="0"/>
              <w:spacing w:after="0" w:line="240" w:lineRule="auto"/>
              <w:rPr>
                <w:rFonts w:ascii="Verdana" w:hAnsi="Verdana"/>
                <w:sz w:val="16"/>
                <w:szCs w:val="16"/>
              </w:rPr>
            </w:pPr>
            <w:r w:rsidRPr="006A1BE7">
              <w:rPr>
                <w:rFonts w:ascii="Verdana" w:hAnsi="Verdana" w:cs="TimesNewRomanPSMT"/>
                <w:sz w:val="16"/>
                <w:szCs w:val="16"/>
              </w:rPr>
              <w:t>–</w:t>
            </w:r>
            <w:r w:rsidR="006A1BE7">
              <w:rPr>
                <w:rFonts w:ascii="Verdana" w:hAnsi="Verdana" w:cs="TimesNewRomanPSMT"/>
                <w:sz w:val="16"/>
                <w:szCs w:val="16"/>
              </w:rPr>
              <w:t xml:space="preserve"> </w:t>
            </w:r>
            <w:r w:rsidRPr="006A1BE7">
              <w:rPr>
                <w:rFonts w:ascii="Verdana" w:hAnsi="Verdana" w:cs="TimesNewRomanPSMT"/>
                <w:sz w:val="16"/>
                <w:szCs w:val="16"/>
              </w:rPr>
              <w:t>50% w stosunku do powierzchni działki.</w:t>
            </w:r>
          </w:p>
          <w:p w:rsidR="001E2DE3" w:rsidRPr="00C37F70" w:rsidRDefault="001E2DE3" w:rsidP="004306A6">
            <w:pPr>
              <w:spacing w:after="0"/>
              <w:rPr>
                <w:rFonts w:ascii="Verdana" w:hAnsi="Verdana" w:cs="TimesNewRomanPS-BoldMT"/>
                <w:bCs/>
                <w:sz w:val="16"/>
                <w:szCs w:val="16"/>
              </w:rPr>
            </w:pPr>
            <w:r w:rsidRPr="006A1BE7">
              <w:rPr>
                <w:rFonts w:ascii="Verdana" w:eastAsia="Times New Roman" w:hAnsi="Verdana" w:cs="Times New Roman"/>
                <w:sz w:val="16"/>
                <w:szCs w:val="16"/>
              </w:rPr>
              <w:t>12.47.KDD</w:t>
            </w:r>
            <w:r w:rsidR="0083049F" w:rsidRPr="006A1BE7">
              <w:rPr>
                <w:rFonts w:ascii="Verdana" w:eastAsia="Times New Roman" w:hAnsi="Verdana" w:cs="Times New Roman"/>
                <w:sz w:val="16"/>
                <w:szCs w:val="16"/>
              </w:rPr>
              <w:t xml:space="preserve">; </w:t>
            </w:r>
            <w:r w:rsidRPr="006A1BE7">
              <w:rPr>
                <w:rFonts w:ascii="Verdana" w:hAnsi="Verdana" w:cs="TimesNewRomanPS-BoldMT"/>
                <w:bCs/>
                <w:sz w:val="16"/>
                <w:szCs w:val="16"/>
              </w:rPr>
              <w:t>09.37.KDZ</w:t>
            </w:r>
            <w:r w:rsidRPr="00C37F70">
              <w:rPr>
                <w:rFonts w:ascii="Verdana" w:hAnsi="Verdana" w:cs="TimesNewRomanPS-BoldMT"/>
                <w:bCs/>
                <w:sz w:val="16"/>
                <w:szCs w:val="16"/>
              </w:rPr>
              <w:t xml:space="preserve"> </w:t>
            </w:r>
          </w:p>
          <w:p w:rsidR="0083049F" w:rsidRPr="00C37F70" w:rsidRDefault="0083049F" w:rsidP="004306A6">
            <w:pPr>
              <w:spacing w:after="12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p>
          <w:p w:rsidR="001E2DE3" w:rsidRPr="00C37F70" w:rsidRDefault="001E2DE3" w:rsidP="00334BF7">
            <w:pPr>
              <w:spacing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lastRenderedPageBreak/>
              <w:t>plan nr 15; XXXVIII/574/09 z dnia 27.05.2009r.</w:t>
            </w:r>
          </w:p>
          <w:p w:rsidR="001E2DE3" w:rsidRPr="00C37F70" w:rsidRDefault="005A0DDA" w:rsidP="00334BF7">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28.MN;</w:t>
            </w:r>
            <w:r w:rsidR="00786A8C" w:rsidRPr="00C37F70">
              <w:rPr>
                <w:rFonts w:ascii="Verdana" w:eastAsia="Times New Roman" w:hAnsi="Verdana" w:cs="Times New Roman"/>
                <w:sz w:val="16"/>
                <w:szCs w:val="16"/>
              </w:rPr>
              <w:t>29</w:t>
            </w:r>
            <w:r w:rsidR="001E2DE3" w:rsidRPr="00C37F70">
              <w:rPr>
                <w:rFonts w:ascii="Verdana" w:eastAsia="Times New Roman" w:hAnsi="Verdana" w:cs="Times New Roman"/>
                <w:sz w:val="16"/>
                <w:szCs w:val="16"/>
              </w:rPr>
              <w:t xml:space="preserve">.MN </w:t>
            </w:r>
          </w:p>
          <w:p w:rsidR="00EA1C22" w:rsidRPr="00C37F70" w:rsidRDefault="00786A8C" w:rsidP="004306A6">
            <w:pPr>
              <w:spacing w:after="120" w:line="240" w:lineRule="auto"/>
              <w:rPr>
                <w:rFonts w:ascii="Verdana" w:eastAsia="Times New Roman" w:hAnsi="Verdana" w:cs="Times New Roman"/>
                <w:b/>
                <w:sz w:val="16"/>
                <w:szCs w:val="16"/>
              </w:rPr>
            </w:pPr>
            <w:r w:rsidRPr="00C37F70">
              <w:rPr>
                <w:rFonts w:ascii="Verdana" w:hAnsi="Verdana" w:cs="Symbol"/>
                <w:sz w:val="16"/>
                <w:szCs w:val="16"/>
              </w:rPr>
              <w:t xml:space="preserve">- </w:t>
            </w:r>
            <w:r w:rsidRPr="00C37F70">
              <w:rPr>
                <w:rFonts w:ascii="Verdana" w:hAnsi="Verdana" w:cs="Arial"/>
                <w:sz w:val="16"/>
                <w:szCs w:val="16"/>
              </w:rPr>
              <w:t>60% na każdej działce budowlanej;</w:t>
            </w:r>
          </w:p>
        </w:tc>
      </w:tr>
      <w:tr w:rsidR="00EA1C22" w:rsidRPr="00DE23F2" w:rsidTr="001F7FC1">
        <w:trPr>
          <w:trHeight w:val="16"/>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1E130F" w:rsidRDefault="00EA1C22" w:rsidP="00D80E3E">
            <w:pPr>
              <w:spacing w:beforeLines="60" w:afterLines="60" w:line="240" w:lineRule="auto"/>
              <w:rPr>
                <w:rFonts w:ascii="Verdana" w:eastAsia="Times New Roman" w:hAnsi="Verdana" w:cs="Times New Roman"/>
                <w:sz w:val="16"/>
                <w:szCs w:val="16"/>
              </w:rPr>
            </w:pPr>
            <w:r w:rsidRPr="001E130F">
              <w:rPr>
                <w:rFonts w:ascii="Verdana" w:eastAsia="Times New Roman" w:hAnsi="Verdana" w:cs="Times New Roman"/>
                <w:sz w:val="16"/>
                <w:szCs w:val="16"/>
                <w:lang w:eastAsia="pl-PL"/>
              </w:rPr>
              <w:t>Minimalna liczba miejsc do parkowania</w:t>
            </w:r>
          </w:p>
        </w:tc>
        <w:tc>
          <w:tcPr>
            <w:tcW w:w="3600" w:type="dxa"/>
            <w:shd w:val="clear" w:color="auto" w:fill="auto"/>
          </w:tcPr>
          <w:p w:rsidR="001E2DE3" w:rsidRPr="00C37F70" w:rsidRDefault="001E2DE3" w:rsidP="00334BF7">
            <w:pPr>
              <w:spacing w:before="120" w:after="120" w:line="240" w:lineRule="auto"/>
              <w:rPr>
                <w:rFonts w:ascii="Verdana" w:hAnsi="Verdana"/>
                <w:b/>
                <w:sz w:val="16"/>
                <w:szCs w:val="16"/>
              </w:rPr>
            </w:pPr>
            <w:r w:rsidRPr="00C37F70">
              <w:rPr>
                <w:rFonts w:ascii="Verdana" w:eastAsia="Times New Roman" w:hAnsi="Verdana" w:cs="Times New Roman"/>
                <w:b/>
                <w:sz w:val="16"/>
                <w:szCs w:val="16"/>
              </w:rPr>
              <w:t xml:space="preserve">plan nr 153; </w:t>
            </w:r>
            <w:r w:rsidRPr="00C37F70">
              <w:rPr>
                <w:rFonts w:ascii="Verdana" w:hAnsi="Verdana"/>
                <w:b/>
                <w:sz w:val="16"/>
                <w:szCs w:val="16"/>
              </w:rPr>
              <w:t>LIII/738/18 z dnia 27.06 2018r.</w:t>
            </w:r>
          </w:p>
          <w:p w:rsidR="00E33669" w:rsidRPr="00C37F70" w:rsidRDefault="00E33669" w:rsidP="00E3366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2.7MN</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3.6MN</w:t>
            </w:r>
            <w:r w:rsidR="0087431C" w:rsidRPr="00C37F70">
              <w:rPr>
                <w:rFonts w:ascii="Verdana" w:eastAsia="Times New Roman" w:hAnsi="Verdana" w:cs="Times New Roman"/>
                <w:sz w:val="16"/>
                <w:szCs w:val="16"/>
              </w:rPr>
              <w:t>:</w:t>
            </w:r>
          </w:p>
          <w:p w:rsidR="0087431C" w:rsidRPr="00C37F70" w:rsidRDefault="00A03D98" w:rsidP="00E33669">
            <w:pPr>
              <w:spacing w:after="0" w:line="240" w:lineRule="auto"/>
              <w:rPr>
                <w:rFonts w:ascii="Verdana" w:eastAsia="Times New Roman" w:hAnsi="Verdana" w:cs="Times New Roman"/>
                <w:sz w:val="16"/>
                <w:szCs w:val="16"/>
              </w:rPr>
            </w:pPr>
            <w:r w:rsidRPr="00C37F70">
              <w:rPr>
                <w:rFonts w:ascii="Verdana" w:hAnsi="Verdana" w:cs="TimesNewRomanPSMT"/>
                <w:sz w:val="16"/>
                <w:szCs w:val="16"/>
              </w:rPr>
              <w:t xml:space="preserve">- </w:t>
            </w:r>
            <w:r w:rsidR="0087431C" w:rsidRPr="00C37F70">
              <w:rPr>
                <w:rFonts w:ascii="Verdana" w:hAnsi="Verdana" w:cs="TimesNewRomanPSMT"/>
                <w:sz w:val="16"/>
                <w:szCs w:val="16"/>
              </w:rPr>
              <w:t>1 miejsce postojowe na 1 mieszkanie,</w:t>
            </w:r>
          </w:p>
          <w:p w:rsidR="00A03D98" w:rsidRPr="00C37F70" w:rsidRDefault="00E33669" w:rsidP="00DE23F2">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4.11.MWn</w:t>
            </w:r>
            <w:r w:rsidR="00A03D98" w:rsidRPr="00C37F70">
              <w:rPr>
                <w:rFonts w:ascii="Verdana" w:eastAsia="Times New Roman" w:hAnsi="Verdana" w:cs="Times New Roman"/>
                <w:sz w:val="16"/>
                <w:szCs w:val="16"/>
              </w:rPr>
              <w:t xml:space="preserve">; </w:t>
            </w:r>
            <w:r w:rsidR="00DE23F2" w:rsidRPr="00C37F70">
              <w:rPr>
                <w:rFonts w:ascii="Verdana" w:eastAsia="Times New Roman" w:hAnsi="Verdana" w:cs="Times New Roman"/>
                <w:sz w:val="16"/>
                <w:szCs w:val="16"/>
              </w:rPr>
              <w:t>4.12a.MWn</w:t>
            </w:r>
            <w:r w:rsidR="00A03D98" w:rsidRPr="00C37F70">
              <w:rPr>
                <w:rFonts w:ascii="Verdana" w:eastAsia="Times New Roman" w:hAnsi="Verdana" w:cs="Times New Roman"/>
                <w:sz w:val="16"/>
                <w:szCs w:val="16"/>
              </w:rPr>
              <w:t>:</w:t>
            </w:r>
          </w:p>
          <w:p w:rsidR="00DE23F2" w:rsidRPr="00C37F70" w:rsidRDefault="00A03D98" w:rsidP="00A03D98">
            <w:pPr>
              <w:autoSpaceDE w:val="0"/>
              <w:autoSpaceDN w:val="0"/>
              <w:adjustRightInd w:val="0"/>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1,4 miejsca postojowego na 1 mieszkanie,</w:t>
            </w:r>
            <w:r w:rsidR="00DE23F2" w:rsidRPr="00C37F70">
              <w:rPr>
                <w:rFonts w:ascii="Verdana" w:eastAsia="Times New Roman" w:hAnsi="Verdana" w:cs="Times New Roman"/>
                <w:sz w:val="16"/>
                <w:szCs w:val="16"/>
              </w:rPr>
              <w:t xml:space="preserve"> </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16.40.KDD</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16.42.KDD</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16.43.KDD</w:t>
            </w:r>
            <w:r w:rsidR="00A03D98" w:rsidRPr="00C37F70">
              <w:rPr>
                <w:rFonts w:ascii="Verdana" w:eastAsia="Times New Roman" w:hAnsi="Verdana" w:cs="Times New Roman"/>
                <w:sz w:val="16"/>
                <w:szCs w:val="16"/>
              </w:rPr>
              <w:t>;</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17.49.KDW</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17.53.KDW</w:t>
            </w:r>
          </w:p>
          <w:p w:rsidR="00A03D98"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A03D98" w:rsidRPr="00C37F70">
              <w:rPr>
                <w:rFonts w:ascii="Verdana" w:eastAsia="Times New Roman" w:hAnsi="Verdana" w:cs="Times New Roman"/>
                <w:sz w:val="16"/>
                <w:szCs w:val="16"/>
              </w:rPr>
              <w:t>:</w:t>
            </w:r>
            <w:r w:rsidR="006A1BE7">
              <w:rPr>
                <w:rFonts w:ascii="Verdana" w:eastAsia="Times New Roman" w:hAnsi="Verdana" w:cs="Times New Roman"/>
                <w:sz w:val="16"/>
                <w:szCs w:val="16"/>
              </w:rPr>
              <w:t xml:space="preserve"> </w:t>
            </w:r>
            <w:r w:rsidR="00A03D98" w:rsidRPr="00C37F70">
              <w:rPr>
                <w:rFonts w:ascii="Verdana" w:eastAsia="Times New Roman" w:hAnsi="Verdana" w:cs="Times New Roman"/>
                <w:sz w:val="16"/>
                <w:szCs w:val="16"/>
              </w:rPr>
              <w:t>brak ustaleń</w:t>
            </w:r>
            <w:r w:rsidR="006A1BE7">
              <w:rPr>
                <w:rFonts w:ascii="Verdana" w:eastAsia="Times New Roman" w:hAnsi="Verdana" w:cs="Times New Roman"/>
                <w:sz w:val="16"/>
                <w:szCs w:val="16"/>
              </w:rPr>
              <w:t>;</w:t>
            </w:r>
          </w:p>
          <w:p w:rsidR="004530B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4530BD" w:rsidRPr="00C37F70">
              <w:rPr>
                <w:rFonts w:ascii="Verdana" w:eastAsia="Times New Roman" w:hAnsi="Verdana" w:cs="Times New Roman"/>
                <w:sz w:val="16"/>
                <w:szCs w:val="16"/>
              </w:rPr>
              <w:t>:</w:t>
            </w:r>
            <w:r w:rsidR="006A1BE7">
              <w:rPr>
                <w:rFonts w:ascii="Verdana" w:eastAsia="Times New Roman" w:hAnsi="Verdana" w:cs="Times New Roman"/>
                <w:sz w:val="16"/>
                <w:szCs w:val="16"/>
              </w:rPr>
              <w:t xml:space="preserve"> </w:t>
            </w:r>
            <w:r w:rsidR="004530BD" w:rsidRPr="00C37F70">
              <w:rPr>
                <w:rFonts w:ascii="Verdana" w:eastAsia="Times New Roman" w:hAnsi="Verdana" w:cs="Times New Roman"/>
                <w:sz w:val="16"/>
                <w:szCs w:val="16"/>
              </w:rPr>
              <w:t>brak ustaleń</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8.19.ZP</w:t>
            </w:r>
            <w:r w:rsidR="004530BD" w:rsidRPr="00C37F70">
              <w:rPr>
                <w:rFonts w:ascii="Verdana" w:eastAsia="Times New Roman" w:hAnsi="Verdana" w:cs="Times New Roman"/>
                <w:sz w:val="16"/>
                <w:szCs w:val="16"/>
              </w:rPr>
              <w:t>:</w:t>
            </w:r>
          </w:p>
          <w:p w:rsidR="004530BD" w:rsidRPr="00C37F70" w:rsidRDefault="004530BD" w:rsidP="004530BD">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dla restauracji, kawiarni, barów – min. 24 miejsca postojowe na 100 miejsc konsumpcyjnych,</w:t>
            </w:r>
          </w:p>
          <w:p w:rsidR="004530BD" w:rsidRPr="00C37F70" w:rsidRDefault="004530BD" w:rsidP="004530BD">
            <w:pPr>
              <w:spacing w:after="0" w:line="240" w:lineRule="auto"/>
              <w:rPr>
                <w:rFonts w:ascii="Verdana" w:eastAsia="Times New Roman" w:hAnsi="Verdana" w:cs="Times New Roman"/>
                <w:sz w:val="16"/>
                <w:szCs w:val="16"/>
              </w:rPr>
            </w:pPr>
            <w:r w:rsidRPr="00C37F70">
              <w:rPr>
                <w:rFonts w:ascii="Verdana" w:hAnsi="Verdana" w:cs="TimesNewRomanPSMT"/>
                <w:sz w:val="16"/>
                <w:szCs w:val="16"/>
              </w:rPr>
              <w:t>- dla usług innych – min. 1 miejsce postojowe na 50m² powierzchni użytkowej</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1E2DE3" w:rsidRPr="00C37F70" w:rsidRDefault="001E130F" w:rsidP="001E2DE3">
            <w:pPr>
              <w:spacing w:after="0"/>
              <w:rPr>
                <w:rFonts w:ascii="Verdana" w:eastAsia="Times New Roman" w:hAnsi="Verdana" w:cs="Times New Roman"/>
                <w:sz w:val="16"/>
                <w:szCs w:val="16"/>
              </w:rPr>
            </w:pPr>
            <w:r w:rsidRPr="00C37F70">
              <w:rPr>
                <w:rFonts w:ascii="Verdana" w:eastAsia="Times New Roman" w:hAnsi="Verdana" w:cs="Times New Roman"/>
                <w:sz w:val="16"/>
                <w:szCs w:val="16"/>
              </w:rPr>
              <w:t xml:space="preserve">01.30.MN; </w:t>
            </w:r>
            <w:r w:rsidR="006A1BE7">
              <w:rPr>
                <w:rFonts w:ascii="Verdana" w:eastAsia="Times New Roman" w:hAnsi="Verdana" w:cs="Times New Roman"/>
                <w:sz w:val="16"/>
                <w:szCs w:val="16"/>
              </w:rPr>
              <w:t>01.46.MN:</w:t>
            </w:r>
          </w:p>
          <w:p w:rsidR="001E130F" w:rsidRPr="00C37F70" w:rsidRDefault="004306A6" w:rsidP="004306A6">
            <w:pPr>
              <w:autoSpaceDE w:val="0"/>
              <w:autoSpaceDN w:val="0"/>
              <w:adjustRightInd w:val="0"/>
              <w:spacing w:after="120" w:line="240" w:lineRule="auto"/>
              <w:rPr>
                <w:rFonts w:ascii="Verdana" w:hAnsi="Verdana"/>
                <w:sz w:val="16"/>
                <w:szCs w:val="16"/>
              </w:rPr>
            </w:pPr>
            <w:r>
              <w:rPr>
                <w:rFonts w:ascii="Verdana" w:hAnsi="Verdana" w:cs="TimesNewRomanPSMT"/>
                <w:sz w:val="16"/>
                <w:szCs w:val="16"/>
              </w:rPr>
              <w:t xml:space="preserve">- </w:t>
            </w:r>
            <w:r w:rsidR="001E130F" w:rsidRPr="00C37F70">
              <w:rPr>
                <w:rFonts w:ascii="Verdana" w:hAnsi="Verdana" w:cs="TimesNewRomanPSMT"/>
                <w:sz w:val="16"/>
                <w:szCs w:val="16"/>
              </w:rPr>
              <w:t>1 miejsce postojowe na</w:t>
            </w:r>
            <w:r>
              <w:rPr>
                <w:rFonts w:ascii="Verdana" w:hAnsi="Verdana" w:cs="TimesNewRomanPSMT"/>
                <w:sz w:val="16"/>
                <w:szCs w:val="16"/>
              </w:rPr>
              <w:t xml:space="preserve"> </w:t>
            </w:r>
            <w:r w:rsidR="001E130F" w:rsidRPr="00C37F70">
              <w:rPr>
                <w:rFonts w:ascii="Verdana" w:hAnsi="Verdana" w:cs="TimesNewRomanPSMT"/>
                <w:sz w:val="16"/>
                <w:szCs w:val="16"/>
              </w:rPr>
              <w:t>1 mieszkanie</w:t>
            </w:r>
            <w:r w:rsidR="006A1BE7">
              <w:rPr>
                <w:rFonts w:ascii="Verdana" w:hAnsi="Verdana" w:cs="TimesNewRomanPSMT"/>
                <w:sz w:val="16"/>
                <w:szCs w:val="16"/>
              </w:rPr>
              <w:t>;</w:t>
            </w:r>
          </w:p>
          <w:p w:rsidR="0083049F" w:rsidRPr="00C37F70" w:rsidRDefault="001E2DE3" w:rsidP="001E2DE3">
            <w:pPr>
              <w:spacing w:after="0"/>
              <w:rPr>
                <w:rFonts w:ascii="Verdana" w:hAnsi="Verdana" w:cs="TimesNewRomanPS-BoldMT"/>
                <w:bCs/>
                <w:sz w:val="16"/>
                <w:szCs w:val="16"/>
              </w:rPr>
            </w:pPr>
            <w:r w:rsidRPr="00C37F70">
              <w:rPr>
                <w:rFonts w:ascii="Verdana" w:eastAsia="Times New Roman" w:hAnsi="Verdana" w:cs="Times New Roman"/>
                <w:sz w:val="16"/>
                <w:szCs w:val="16"/>
              </w:rPr>
              <w:t>12.47.</w:t>
            </w:r>
            <w:r w:rsidR="0083049F" w:rsidRPr="00C37F70">
              <w:rPr>
                <w:rFonts w:ascii="Verdana" w:eastAsia="Times New Roman" w:hAnsi="Verdana" w:cs="Times New Roman"/>
                <w:sz w:val="16"/>
                <w:szCs w:val="16"/>
              </w:rPr>
              <w:t xml:space="preserve">KDD; </w:t>
            </w:r>
            <w:r w:rsidRPr="00C37F70">
              <w:rPr>
                <w:rFonts w:ascii="Verdana" w:hAnsi="Verdana" w:cs="TimesNewRomanPS-BoldMT"/>
                <w:bCs/>
                <w:sz w:val="16"/>
                <w:szCs w:val="16"/>
              </w:rPr>
              <w:t>09.37.KDZ</w:t>
            </w:r>
            <w:r w:rsidR="006A1BE7">
              <w:rPr>
                <w:rFonts w:ascii="Verdana" w:hAnsi="Verdana" w:cs="TimesNewRomanPS-BoldMT"/>
                <w:bCs/>
                <w:sz w:val="16"/>
                <w:szCs w:val="16"/>
              </w:rPr>
              <w:t>:</w:t>
            </w:r>
          </w:p>
          <w:p w:rsidR="0083049F" w:rsidRPr="00C37F70" w:rsidRDefault="0083049F" w:rsidP="0083049F">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r w:rsidR="006A1BE7">
              <w:rPr>
                <w:rFonts w:ascii="Verdana" w:eastAsia="Times New Roman" w:hAnsi="Verdana" w:cs="Times New Roman"/>
                <w:sz w:val="16"/>
                <w:szCs w:val="16"/>
              </w:rPr>
              <w:t>.</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15; XXXVIII/574/09 z dnia 27.05.2009r.</w:t>
            </w:r>
          </w:p>
          <w:p w:rsidR="001E2DE3" w:rsidRPr="00C37F70" w:rsidRDefault="001E130F" w:rsidP="001E130F">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xml:space="preserve">28.MN; </w:t>
            </w:r>
            <w:r w:rsidR="00786A8C" w:rsidRPr="00C37F70">
              <w:rPr>
                <w:rFonts w:ascii="Verdana" w:eastAsia="Times New Roman" w:hAnsi="Verdana" w:cs="Times New Roman"/>
                <w:sz w:val="16"/>
                <w:szCs w:val="16"/>
              </w:rPr>
              <w:t>29</w:t>
            </w:r>
            <w:r w:rsidR="006A1BE7">
              <w:rPr>
                <w:rFonts w:ascii="Verdana" w:eastAsia="Times New Roman" w:hAnsi="Verdana" w:cs="Times New Roman"/>
                <w:sz w:val="16"/>
                <w:szCs w:val="16"/>
              </w:rPr>
              <w:t>.MN:</w:t>
            </w:r>
          </w:p>
          <w:p w:rsidR="00EA1C22" w:rsidRPr="00C37F70" w:rsidRDefault="001E130F" w:rsidP="004306A6">
            <w:pPr>
              <w:autoSpaceDE w:val="0"/>
              <w:autoSpaceDN w:val="0"/>
              <w:adjustRightInd w:val="0"/>
              <w:spacing w:after="0" w:line="240" w:lineRule="auto"/>
              <w:rPr>
                <w:rFonts w:ascii="Verdana" w:eastAsia="Times New Roman" w:hAnsi="Verdana" w:cs="Times New Roman"/>
                <w:b/>
                <w:sz w:val="16"/>
                <w:szCs w:val="16"/>
              </w:rPr>
            </w:pPr>
            <w:r w:rsidRPr="00C37F70">
              <w:rPr>
                <w:rFonts w:ascii="Verdana" w:eastAsia="ArialNarrow" w:hAnsi="Verdana" w:cs="ArialNarrow"/>
                <w:sz w:val="16"/>
                <w:szCs w:val="16"/>
              </w:rPr>
              <w:t>obowiązuje zaspokojenie potrzeb parkingowych w granicach działki lub posesji przynależnej do budynku, o ile ustalenia szczegółowe dla poszczególnych jednostek planu nie stanowią inaczej; dopuszcza się uwzględnienie w bilansie miejsc</w:t>
            </w:r>
            <w:r w:rsidR="004306A6">
              <w:rPr>
                <w:rFonts w:ascii="Verdana" w:eastAsia="ArialNarrow" w:hAnsi="Verdana" w:cs="ArialNarrow"/>
                <w:sz w:val="16"/>
                <w:szCs w:val="16"/>
              </w:rPr>
              <w:t xml:space="preserve"> </w:t>
            </w:r>
            <w:r w:rsidRPr="00C37F70">
              <w:rPr>
                <w:rFonts w:ascii="Verdana" w:eastAsia="ArialNarrow" w:hAnsi="Verdana" w:cs="ArialNarrow"/>
                <w:sz w:val="16"/>
                <w:szCs w:val="16"/>
              </w:rPr>
              <w:t>postojowych dla poszczególnych nieruchomości zgodnie z zapotrzebowaniem dla danych funkcji miejsc postojowych zorganizowanych w liniach rozgraniczających dróg wewnętrznych i powiązanych z nimi parkingów</w:t>
            </w:r>
          </w:p>
        </w:tc>
      </w:tr>
      <w:tr w:rsidR="00682BBF" w:rsidRPr="00BC2537" w:rsidTr="001F7FC1">
        <w:trPr>
          <w:trHeight w:val="93"/>
        </w:trPr>
        <w:tc>
          <w:tcPr>
            <w:tcW w:w="2958" w:type="dxa"/>
            <w:vMerge w:val="restart"/>
            <w:shd w:val="clear" w:color="auto" w:fill="F3F3F3"/>
          </w:tcPr>
          <w:p w:rsidR="00682BBF" w:rsidRPr="00BC2537" w:rsidRDefault="00682BBF" w:rsidP="00D2744C">
            <w:pPr>
              <w:widowControl w:val="0"/>
              <w:autoSpaceDE w:val="0"/>
              <w:autoSpaceDN w:val="0"/>
              <w:adjustRightInd w:val="0"/>
              <w:spacing w:before="120" w:after="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Ustalenia decyzji o warunkach zabudowy albo decyzji o ustaleniu lokalizacji inwestycji celu publicznego dla terenu objętego przedsięwzięciem deweloperskim lub zadaniem inwestycyjnym w przypadku braku miejscowego planu zagospodarowania przestrzennego</w:t>
            </w:r>
          </w:p>
          <w:p w:rsidR="00682BBF" w:rsidRPr="00BC2537" w:rsidRDefault="00682BBF" w:rsidP="00D2744C">
            <w:pPr>
              <w:widowControl w:val="0"/>
              <w:autoSpaceDE w:val="0"/>
              <w:autoSpaceDN w:val="0"/>
              <w:adjustRightInd w:val="0"/>
              <w:spacing w:before="120" w:after="0" w:line="240" w:lineRule="auto"/>
              <w:rPr>
                <w:rFonts w:ascii="Verdana" w:eastAsia="Times New Roman" w:hAnsi="Verdana" w:cs="Times New Roman"/>
                <w:sz w:val="16"/>
                <w:szCs w:val="16"/>
              </w:rPr>
            </w:pPr>
          </w:p>
          <w:p w:rsidR="00682BBF" w:rsidRPr="00BC2537" w:rsidRDefault="00682BBF"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Funkcja zabudowy i zagospodarowania terenu</w:t>
            </w:r>
          </w:p>
        </w:tc>
        <w:tc>
          <w:tcPr>
            <w:tcW w:w="3600" w:type="dxa"/>
            <w:shd w:val="clear" w:color="auto" w:fill="auto"/>
          </w:tcPr>
          <w:p w:rsidR="00682BBF" w:rsidRPr="00C37F70" w:rsidRDefault="00682BBF" w:rsidP="00D80E3E">
            <w:pPr>
              <w:spacing w:beforeLines="60" w:afterLines="60" w:line="240" w:lineRule="auto"/>
              <w:rPr>
                <w:rFonts w:ascii="Verdana" w:eastAsia="Univers-PL" w:hAnsi="Verdana" w:cs="Times New Roman"/>
                <w:sz w:val="16"/>
                <w:szCs w:val="16"/>
                <w:lang w:eastAsia="pl-PL"/>
              </w:rPr>
            </w:pPr>
            <w:r w:rsidRPr="00C37F70">
              <w:rPr>
                <w:rFonts w:ascii="Verdana" w:eastAsia="Univers-PL" w:hAnsi="Verdana" w:cs="Times New Roman"/>
                <w:sz w:val="16"/>
                <w:szCs w:val="16"/>
                <w:lang w:eastAsia="pl-PL"/>
              </w:rPr>
              <w:t>Sposób użytkowania obiektów budowlanych oraz zagospodarowania terenu</w:t>
            </w:r>
          </w:p>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7200" w:type="dxa"/>
            <w:gridSpan w:val="2"/>
            <w:shd w:val="clear" w:color="auto" w:fill="auto"/>
          </w:tcPr>
          <w:p w:rsidR="00682BBF" w:rsidRPr="004530BD" w:rsidRDefault="00682BBF" w:rsidP="00D80E3E">
            <w:pPr>
              <w:spacing w:beforeLines="60" w:afterLines="60" w:line="240" w:lineRule="auto"/>
              <w:rPr>
                <w:rFonts w:ascii="Verdana" w:eastAsia="Times New Roman" w:hAnsi="Verdana" w:cs="Times New Roman"/>
                <w:sz w:val="16"/>
                <w:szCs w:val="16"/>
              </w:rPr>
            </w:pPr>
            <w:r w:rsidRPr="004530BD">
              <w:rPr>
                <w:rFonts w:ascii="Verdana" w:eastAsia="Times New Roman" w:hAnsi="Verdana" w:cs="Times New Roman"/>
                <w:sz w:val="16"/>
                <w:szCs w:val="16"/>
              </w:rPr>
              <w:t>Cechy zabudowy i zagospodarowania terenu:</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gabaryty</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forma architektoniczna</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usytuowanie linii zabudowy</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intensywność wykorzystania terenu</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środowiska i zdrowia ludzi, przyrody i krajobrazu</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zabudowy i zagospodarowania terenu położonego na obszarach szczególnego zagrożenia powodzią</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dziedzictwa kulturowego i zabytków oraz dóbr kultury współczesnej</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ochrony innych terenów lub obiektów podlegających ochronie na podstawie przepisów odrębnych</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komunikacji</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infrastruktury technicznej</w:t>
            </w:r>
          </w:p>
        </w:tc>
        <w:tc>
          <w:tcPr>
            <w:tcW w:w="3600" w:type="dxa"/>
            <w:shd w:val="clear" w:color="auto" w:fill="auto"/>
          </w:tcPr>
          <w:p w:rsidR="00682BBF" w:rsidRPr="00C37F70" w:rsidRDefault="00682BBF" w:rsidP="00D80E3E">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6A1BE7" w:rsidRDefault="00682BBF" w:rsidP="00653B69">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minimalny udział procentowy</w:t>
            </w:r>
          </w:p>
          <w:p w:rsidR="00A60E59" w:rsidRPr="006A1BE7" w:rsidRDefault="00A60E59" w:rsidP="00653B69">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powierzchni biologicznie czynnej</w:t>
            </w:r>
          </w:p>
        </w:tc>
        <w:tc>
          <w:tcPr>
            <w:tcW w:w="3600" w:type="dxa"/>
            <w:shd w:val="clear" w:color="auto" w:fill="auto"/>
          </w:tcPr>
          <w:p w:rsidR="00682BBF" w:rsidRPr="006A1BE7" w:rsidRDefault="00682BBF" w:rsidP="00D80E3E">
            <w:pPr>
              <w:spacing w:beforeLines="60" w:afterLines="60" w:line="240" w:lineRule="auto"/>
              <w:rPr>
                <w:rFonts w:ascii="Verdana" w:eastAsia="Univers-PL" w:hAnsi="Verdana" w:cs="Times New Roman"/>
                <w:sz w:val="16"/>
                <w:szCs w:val="16"/>
                <w:lang w:eastAsia="pl-PL"/>
              </w:rPr>
            </w:pPr>
            <w:r w:rsidRPr="006A1BE7">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6A1BE7" w:rsidRDefault="00A60E59" w:rsidP="00A92FBA">
            <w:pPr>
              <w:autoSpaceDE w:val="0"/>
              <w:autoSpaceDN w:val="0"/>
              <w:adjustRightInd w:val="0"/>
              <w:spacing w:before="120"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nadziemna intensywność zabudowy</w:t>
            </w:r>
          </w:p>
        </w:tc>
        <w:tc>
          <w:tcPr>
            <w:tcW w:w="3600" w:type="dxa"/>
            <w:shd w:val="clear" w:color="auto" w:fill="auto"/>
          </w:tcPr>
          <w:p w:rsidR="00682BBF" w:rsidRPr="006A1BE7" w:rsidRDefault="00682BBF" w:rsidP="00D80E3E">
            <w:pPr>
              <w:spacing w:beforeLines="60" w:afterLines="60" w:line="240" w:lineRule="auto"/>
              <w:rPr>
                <w:rFonts w:ascii="Verdana" w:eastAsia="Univers-PL" w:hAnsi="Verdana" w:cs="Times New Roman"/>
                <w:sz w:val="16"/>
                <w:szCs w:val="16"/>
                <w:lang w:eastAsia="pl-PL"/>
              </w:rPr>
            </w:pPr>
            <w:r w:rsidRPr="006A1BE7">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6A1BE7" w:rsidRDefault="00A60E59" w:rsidP="00653B69">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Wysokość zabudowy</w:t>
            </w:r>
          </w:p>
        </w:tc>
        <w:tc>
          <w:tcPr>
            <w:tcW w:w="3600" w:type="dxa"/>
            <w:shd w:val="clear" w:color="auto" w:fill="auto"/>
          </w:tcPr>
          <w:p w:rsidR="00682BBF" w:rsidRPr="006A1BE7" w:rsidRDefault="00682BBF" w:rsidP="00D80E3E">
            <w:pPr>
              <w:spacing w:beforeLines="60" w:afterLines="60" w:line="240" w:lineRule="auto"/>
              <w:rPr>
                <w:rFonts w:ascii="Verdana" w:eastAsia="Univers-PL" w:hAnsi="Verdana" w:cs="Times New Roman"/>
                <w:sz w:val="16"/>
                <w:szCs w:val="16"/>
                <w:lang w:eastAsia="pl-PL"/>
              </w:rPr>
            </w:pPr>
            <w:r w:rsidRPr="006A1BE7">
              <w:rPr>
                <w:rFonts w:ascii="Verdana" w:eastAsia="Univers-PL" w:hAnsi="Verdana" w:cs="Times New Roman"/>
                <w:sz w:val="16"/>
                <w:szCs w:val="16"/>
                <w:lang w:eastAsia="pl-PL"/>
              </w:rPr>
              <w:t>NIE DOTYCZY</w:t>
            </w:r>
          </w:p>
        </w:tc>
      </w:tr>
      <w:tr w:rsidR="00EA1C22" w:rsidRPr="00BC2537" w:rsidTr="001F7FC1">
        <w:trPr>
          <w:trHeight w:val="3"/>
        </w:trPr>
        <w:tc>
          <w:tcPr>
            <w:tcW w:w="2958" w:type="dxa"/>
            <w:vMerge w:val="restart"/>
            <w:shd w:val="clear" w:color="auto" w:fill="F3F3F3"/>
          </w:tcPr>
          <w:p w:rsidR="00682BBF" w:rsidRPr="006A1BE7" w:rsidRDefault="00682BBF" w:rsidP="00A92FBA">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Informacje dotyczące</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przewidzianych inwestycji</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 promieniu 1 km od terenu</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objętego przedsięwzięciem</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deweloperskim lub zadaniem</w:t>
            </w:r>
          </w:p>
          <w:p w:rsidR="00EA1C22" w:rsidRPr="006A1BE7" w:rsidRDefault="00682BBF" w:rsidP="00682BBF">
            <w:pPr>
              <w:widowControl w:val="0"/>
              <w:autoSpaceDE w:val="0"/>
              <w:autoSpaceDN w:val="0"/>
              <w:adjustRightInd w:val="0"/>
              <w:spacing w:after="0" w:line="240" w:lineRule="auto"/>
              <w:rPr>
                <w:rFonts w:ascii="Verdana" w:eastAsia="Times New Roman" w:hAnsi="Verdana" w:cs="Times New Roman"/>
                <w:sz w:val="16"/>
                <w:szCs w:val="16"/>
                <w:lang w:eastAsia="pl-PL"/>
              </w:rPr>
            </w:pPr>
            <w:r w:rsidRPr="006A1BE7">
              <w:rPr>
                <w:rFonts w:ascii="Verdana" w:eastAsia="TimesNewRoman" w:hAnsi="Verdana" w:cs="TimesNewRoman"/>
                <w:sz w:val="16"/>
                <w:szCs w:val="16"/>
              </w:rPr>
              <w:t>inwestycyjnym</w:t>
            </w:r>
            <w:r w:rsidR="00F5111A" w:rsidRPr="006A1BE7">
              <w:rPr>
                <w:rStyle w:val="Odwoanieprzypisudolnego"/>
                <w:rFonts w:ascii="Verdana" w:eastAsia="TimesNewRoman" w:hAnsi="Verdana"/>
                <w:sz w:val="16"/>
                <w:szCs w:val="16"/>
              </w:rPr>
              <w:footnoteReference w:id="6"/>
            </w:r>
            <w:r w:rsidR="00F5111A" w:rsidRPr="006A1BE7">
              <w:rPr>
                <w:rFonts w:ascii="Verdana" w:eastAsia="TimesNewRoman" w:hAnsi="Verdana" w:cs="Times"/>
                <w:sz w:val="16"/>
                <w:szCs w:val="16"/>
                <w:vertAlign w:val="superscript"/>
              </w:rPr>
              <w:t>)</w:t>
            </w:r>
            <w:r w:rsidRPr="006A1BE7">
              <w:rPr>
                <w:rFonts w:ascii="Verdana" w:eastAsia="TimesNewRoman" w:hAnsi="Verdana" w:cs="TimesNewRoman"/>
                <w:sz w:val="16"/>
                <w:szCs w:val="16"/>
              </w:rPr>
              <w:t>, zawarte w:</w:t>
            </w:r>
            <w:r w:rsidRPr="006A1BE7">
              <w:rPr>
                <w:rFonts w:ascii="Verdana" w:eastAsia="Times New Roman" w:hAnsi="Verdana" w:cs="Times New Roman"/>
                <w:sz w:val="16"/>
                <w:szCs w:val="16"/>
                <w:lang w:eastAsia="pl-PL"/>
              </w:rPr>
              <w:t xml:space="preserve"> </w:t>
            </w:r>
          </w:p>
        </w:tc>
        <w:tc>
          <w:tcPr>
            <w:tcW w:w="3600" w:type="dxa"/>
            <w:shd w:val="clear" w:color="auto" w:fill="auto"/>
          </w:tcPr>
          <w:p w:rsidR="00EA1C22" w:rsidRPr="006A1BE7" w:rsidRDefault="00EA1C22" w:rsidP="00D80E3E">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miejscowych planach zagospodarowania przestrzennego</w:t>
            </w:r>
          </w:p>
        </w:tc>
        <w:tc>
          <w:tcPr>
            <w:tcW w:w="3600" w:type="dxa"/>
            <w:shd w:val="clear" w:color="auto" w:fill="auto"/>
          </w:tcPr>
          <w:p w:rsidR="00EA1C22" w:rsidRPr="006A1BE7" w:rsidRDefault="009D6820" w:rsidP="004306A6">
            <w:pPr>
              <w:autoSpaceDE w:val="0"/>
              <w:autoSpaceDN w:val="0"/>
              <w:adjustRightInd w:val="0"/>
              <w:spacing w:before="120" w:after="120" w:line="240" w:lineRule="auto"/>
              <w:rPr>
                <w:rFonts w:ascii="Verdana" w:eastAsia="Times New Roman" w:hAnsi="Verdana" w:cs="Times New Roman"/>
                <w:sz w:val="16"/>
                <w:szCs w:val="16"/>
              </w:rPr>
            </w:pPr>
            <w:r w:rsidRPr="006A1BE7">
              <w:rPr>
                <w:rFonts w:ascii="Verdana" w:hAnsi="Verdana" w:cs="TimesNewRomanPSMT"/>
                <w:sz w:val="16"/>
                <w:szCs w:val="16"/>
              </w:rPr>
              <w:t>powiązanie komunikacyjne obszaru planu z układem zewnętrznym przez ulicę Kaszubską 13.31.KDG –</w:t>
            </w:r>
            <w:r w:rsidR="00B021C8" w:rsidRPr="006A1BE7">
              <w:rPr>
                <w:rFonts w:ascii="Verdana" w:hAnsi="Verdana" w:cs="TimesNewRomanPSMT"/>
                <w:sz w:val="16"/>
                <w:szCs w:val="16"/>
              </w:rPr>
              <w:t xml:space="preserve"> </w:t>
            </w:r>
            <w:r w:rsidRPr="006A1BE7">
              <w:rPr>
                <w:rFonts w:ascii="Verdana" w:hAnsi="Verdana" w:cs="TimesNewRomanPSMT"/>
                <w:sz w:val="16"/>
                <w:szCs w:val="16"/>
              </w:rPr>
              <w:t>drogę klasy głównej (droga wojewódzka DW 213) oraz projektowaną drogę zbiorczą 14.32.KDZ,</w:t>
            </w:r>
            <w:r w:rsidR="000B4F79" w:rsidRPr="006A1BE7">
              <w:rPr>
                <w:rFonts w:ascii="Verdana" w:hAnsi="Verdana" w:cs="TimesNewRomanPSMT"/>
                <w:sz w:val="16"/>
                <w:szCs w:val="16"/>
              </w:rPr>
              <w:t xml:space="preserve"> </w:t>
            </w:r>
            <w:r w:rsidRPr="006A1BE7">
              <w:rPr>
                <w:rFonts w:ascii="Verdana" w:hAnsi="Verdana" w:cs="TimesNewRomanPSMT"/>
                <w:sz w:val="16"/>
                <w:szCs w:val="16"/>
              </w:rPr>
              <w:t>stanowiącą fragment ringu miejskiego;</w:t>
            </w:r>
          </w:p>
        </w:tc>
      </w:tr>
      <w:tr w:rsidR="00EA1C22" w:rsidRPr="00BC2537" w:rsidTr="001F7FC1">
        <w:trPr>
          <w:trHeight w:val="3"/>
        </w:trPr>
        <w:tc>
          <w:tcPr>
            <w:tcW w:w="2958" w:type="dxa"/>
            <w:vMerge/>
            <w:shd w:val="clear" w:color="auto" w:fill="F3F3F3"/>
          </w:tcPr>
          <w:p w:rsidR="00EA1C22" w:rsidRPr="006A1BE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6A1BE7" w:rsidRDefault="00EA1C22" w:rsidP="00334BF7">
            <w:pPr>
              <w:widowControl w:val="0"/>
              <w:autoSpaceDE w:val="0"/>
              <w:autoSpaceDN w:val="0"/>
              <w:adjustRightInd w:val="0"/>
              <w:spacing w:before="120" w:after="120" w:line="240" w:lineRule="auto"/>
              <w:rPr>
                <w:rFonts w:ascii="Verdana" w:eastAsia="Times New Roman" w:hAnsi="Verdana" w:cs="Times New Roman"/>
                <w:sz w:val="16"/>
                <w:szCs w:val="16"/>
                <w:lang w:eastAsia="pl-PL"/>
              </w:rPr>
            </w:pPr>
            <w:r w:rsidRPr="006A1BE7">
              <w:rPr>
                <w:rFonts w:ascii="Verdana" w:eastAsia="Times New Roman" w:hAnsi="Verdana" w:cs="Times New Roman"/>
                <w:sz w:val="16"/>
                <w:szCs w:val="16"/>
                <w:lang w:eastAsia="pl-PL"/>
              </w:rPr>
              <w:t>decyzjach o warunkach zabudowy i zagospodarowania terenu</w:t>
            </w:r>
          </w:p>
        </w:tc>
        <w:tc>
          <w:tcPr>
            <w:tcW w:w="3600" w:type="dxa"/>
            <w:shd w:val="clear" w:color="auto" w:fill="auto"/>
          </w:tcPr>
          <w:p w:rsidR="00EA1C22" w:rsidRPr="006A1BE7" w:rsidRDefault="008171D9" w:rsidP="00D80E3E">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6A1BE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6A1BE7" w:rsidRDefault="00EA1C22" w:rsidP="00D80E3E">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decyzjach o środowiskowych uwarunkowaniach</w:t>
            </w:r>
          </w:p>
        </w:tc>
        <w:tc>
          <w:tcPr>
            <w:tcW w:w="3600" w:type="dxa"/>
            <w:shd w:val="clear" w:color="auto" w:fill="auto"/>
          </w:tcPr>
          <w:p w:rsidR="00EA1C22" w:rsidRPr="006A1BE7" w:rsidRDefault="00B021C8" w:rsidP="00D80E3E">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6A1BE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6A1BE7" w:rsidRDefault="00682BBF" w:rsidP="00D80E3E">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uchwałach</w:t>
            </w:r>
            <w:r w:rsidR="00EA1C22" w:rsidRPr="006A1BE7">
              <w:rPr>
                <w:rFonts w:ascii="Verdana" w:eastAsia="Times New Roman" w:hAnsi="Verdana" w:cs="Times New Roman"/>
                <w:sz w:val="16"/>
                <w:szCs w:val="16"/>
              </w:rPr>
              <w:t xml:space="preserve"> o obszarach ograniczonego użytkowania</w:t>
            </w:r>
          </w:p>
        </w:tc>
        <w:tc>
          <w:tcPr>
            <w:tcW w:w="3600" w:type="dxa"/>
            <w:shd w:val="clear" w:color="auto" w:fill="auto"/>
          </w:tcPr>
          <w:p w:rsidR="00EA1C22" w:rsidRPr="006A1BE7" w:rsidRDefault="008171D9" w:rsidP="00D80E3E">
            <w:pPr>
              <w:spacing w:beforeLines="60" w:afterLines="60" w:line="240" w:lineRule="auto"/>
              <w:rPr>
                <w:rFonts w:ascii="Verdana" w:eastAsia="Times New Roman" w:hAnsi="Verdana" w:cs="Times New Roman"/>
                <w:sz w:val="16"/>
                <w:szCs w:val="16"/>
              </w:rPr>
            </w:pPr>
            <w:r w:rsidRPr="006A1BE7">
              <w:rPr>
                <w:rFonts w:ascii="Verdana" w:hAnsi="Verdana" w:cs="Arial"/>
                <w:bCs/>
                <w:sz w:val="16"/>
                <w:szCs w:val="16"/>
                <w:shd w:val="clear" w:color="auto" w:fill="FFFFFF"/>
              </w:rPr>
              <w:t>BAZA WOJSKOWA WSPARCIA US NAVY W REDZIKOWIE</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miejscowych planach odbudowy</w:t>
            </w:r>
          </w:p>
        </w:tc>
        <w:tc>
          <w:tcPr>
            <w:tcW w:w="3600" w:type="dxa"/>
            <w:shd w:val="clear" w:color="auto" w:fill="auto"/>
          </w:tcPr>
          <w:p w:rsidR="00EA1C22" w:rsidRPr="00BC2537" w:rsidRDefault="00B021C8"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mapach zagrożenia powodziowego i mapach ryzyka powodziowego</w:t>
            </w:r>
          </w:p>
        </w:tc>
        <w:tc>
          <w:tcPr>
            <w:tcW w:w="3600" w:type="dxa"/>
            <w:shd w:val="clear" w:color="auto" w:fill="auto"/>
          </w:tcPr>
          <w:p w:rsidR="00EA1C22" w:rsidRPr="00BC2537" w:rsidRDefault="00B021C8"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7200" w:type="dxa"/>
            <w:gridSpan w:val="2"/>
            <w:shd w:val="clear" w:color="auto" w:fill="auto"/>
          </w:tcPr>
          <w:p w:rsidR="00EA1C22" w:rsidRPr="00BC2537" w:rsidRDefault="00EA1C22" w:rsidP="004306A6">
            <w:pPr>
              <w:widowControl w:val="0"/>
              <w:autoSpaceDE w:val="0"/>
              <w:autoSpaceDN w:val="0"/>
              <w:adjustRightInd w:val="0"/>
              <w:spacing w:before="120" w:after="12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Ustalenia decyzji w zakresie rozmieszczenia inwestycji celu publicznego, mogące mieć znaczenie dla terenu objętego przedsięwzięciem deweloperskim lub zadaniem inwestycyjnym:</w:t>
            </w:r>
            <w:r w:rsidR="007E2879">
              <w:rPr>
                <w:rFonts w:ascii="Verdana" w:eastAsia="Times New Roman" w:hAnsi="Verdana" w:cs="Times New Roman"/>
                <w:sz w:val="16"/>
                <w:szCs w:val="16"/>
                <w:lang w:eastAsia="pl-PL"/>
              </w:rPr>
              <w:t xml:space="preserve"> </w:t>
            </w:r>
          </w:p>
        </w:tc>
      </w:tr>
      <w:tr w:rsidR="00EA1C22" w:rsidRPr="00BC2537" w:rsidTr="001F7FC1">
        <w:trPr>
          <w:trHeight w:val="6"/>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zezwoleniu na realizację inwestycji drogowej</w:t>
            </w:r>
          </w:p>
        </w:tc>
        <w:tc>
          <w:tcPr>
            <w:tcW w:w="3600" w:type="dxa"/>
            <w:shd w:val="clear" w:color="auto" w:fill="auto"/>
          </w:tcPr>
          <w:p w:rsidR="00EA1C22" w:rsidRPr="006A1BE7" w:rsidRDefault="00056A78" w:rsidP="006F6789">
            <w:pPr>
              <w:autoSpaceDE w:val="0"/>
              <w:autoSpaceDN w:val="0"/>
              <w:adjustRightInd w:val="0"/>
              <w:spacing w:before="120" w:after="0" w:line="240" w:lineRule="auto"/>
              <w:rPr>
                <w:rFonts w:ascii="Verdana" w:eastAsia="Times New Roman" w:hAnsi="Verdana" w:cs="Times New Roman"/>
                <w:sz w:val="16"/>
                <w:szCs w:val="16"/>
              </w:rPr>
            </w:pPr>
            <w:r w:rsidRPr="006A1BE7">
              <w:rPr>
                <w:rFonts w:ascii="Verdana" w:hAnsi="Verdana" w:cs="TimesNewRomanPSMT"/>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linii kolejowej</w:t>
            </w:r>
          </w:p>
        </w:tc>
        <w:tc>
          <w:tcPr>
            <w:tcW w:w="3600" w:type="dxa"/>
            <w:shd w:val="clear" w:color="auto" w:fill="auto"/>
          </w:tcPr>
          <w:p w:rsidR="00EA1C22" w:rsidRPr="00C37F70" w:rsidRDefault="00B021C8" w:rsidP="00D80E3E">
            <w:pPr>
              <w:spacing w:beforeLines="60" w:afterLines="6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zezwoleniu na realizację inwestycji w zakresie lotniska użytku publicznego</w:t>
            </w:r>
          </w:p>
        </w:tc>
        <w:tc>
          <w:tcPr>
            <w:tcW w:w="3600" w:type="dxa"/>
            <w:shd w:val="clear" w:color="auto" w:fill="auto"/>
          </w:tcPr>
          <w:p w:rsidR="00EA1C22" w:rsidRPr="00C37F70" w:rsidRDefault="00B021C8" w:rsidP="00D80E3E">
            <w:pPr>
              <w:spacing w:beforeLines="60" w:afterLines="6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pozwoleniu na realizację inwestycji w zakresie budowli przeciwpowodziowych</w:t>
            </w:r>
          </w:p>
        </w:tc>
        <w:tc>
          <w:tcPr>
            <w:tcW w:w="3600" w:type="dxa"/>
            <w:shd w:val="clear" w:color="auto" w:fill="auto"/>
          </w:tcPr>
          <w:p w:rsidR="00EA1C22" w:rsidRPr="00BC2537" w:rsidRDefault="00B021C8"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inwestycji w zakresie budowy obiektu energetyki jądrowej</w:t>
            </w:r>
          </w:p>
        </w:tc>
        <w:tc>
          <w:tcPr>
            <w:tcW w:w="3600" w:type="dxa"/>
            <w:shd w:val="clear" w:color="auto" w:fill="auto"/>
          </w:tcPr>
          <w:p w:rsidR="00EA1C22" w:rsidRPr="00CA0D65" w:rsidRDefault="00B021C8" w:rsidP="00D80E3E">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strategicznej inwestycji w zakresie sieci przesyłowej</w:t>
            </w:r>
          </w:p>
        </w:tc>
        <w:tc>
          <w:tcPr>
            <w:tcW w:w="3600" w:type="dxa"/>
            <w:shd w:val="clear" w:color="auto" w:fill="auto"/>
          </w:tcPr>
          <w:p w:rsidR="00EA1C22" w:rsidRPr="00BC2537" w:rsidRDefault="00C73235"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regionalnej sieci szerokopasmowej</w:t>
            </w:r>
          </w:p>
        </w:tc>
        <w:tc>
          <w:tcPr>
            <w:tcW w:w="3600" w:type="dxa"/>
            <w:shd w:val="clear" w:color="auto" w:fill="auto"/>
          </w:tcPr>
          <w:p w:rsidR="00EA1C22" w:rsidRPr="00CA0D65" w:rsidRDefault="00C73235" w:rsidP="00D80E3E">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decyzja o ustaleniu lokalizacji inwestycji w zakresie Centralnego Portu Komunikacyjnego </w:t>
            </w:r>
          </w:p>
        </w:tc>
        <w:tc>
          <w:tcPr>
            <w:tcW w:w="3600" w:type="dxa"/>
            <w:shd w:val="clear" w:color="auto" w:fill="auto"/>
          </w:tcPr>
          <w:p w:rsidR="00EA1C22" w:rsidRPr="00BC2537" w:rsidRDefault="00C73235"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o zezwoleniu na realizację</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 xml:space="preserve">inwestycji w zakresie infrastruktury </w:t>
            </w:r>
            <w:r w:rsidRPr="00BC2537">
              <w:rPr>
                <w:rFonts w:ascii="Verdana" w:eastAsia="Times New Roman" w:hAnsi="Verdana" w:cs="Times New Roman"/>
                <w:sz w:val="16"/>
                <w:szCs w:val="16"/>
              </w:rPr>
              <w:lastRenderedPageBreak/>
              <w:t>dostępowej</w:t>
            </w:r>
          </w:p>
        </w:tc>
        <w:tc>
          <w:tcPr>
            <w:tcW w:w="3600" w:type="dxa"/>
            <w:shd w:val="clear" w:color="auto" w:fill="auto"/>
          </w:tcPr>
          <w:p w:rsidR="00EA1C22" w:rsidRPr="00BC2537" w:rsidRDefault="00C73235"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lastRenderedPageBreak/>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lang w:eastAsia="pl-PL"/>
              </w:rPr>
            </w:pPr>
            <w:r w:rsidRPr="00BC2537">
              <w:rPr>
                <w:rFonts w:ascii="Verdana" w:eastAsia="Times New Roman" w:hAnsi="Verdana" w:cs="Times New Roman"/>
                <w:sz w:val="16"/>
                <w:szCs w:val="16"/>
                <w:lang w:eastAsia="pl-PL"/>
              </w:rPr>
              <w:t>decyzja o ustaleniu lokalizacji strategicznej inwestycji w sektorze naftowym</w:t>
            </w:r>
          </w:p>
        </w:tc>
        <w:tc>
          <w:tcPr>
            <w:tcW w:w="3600" w:type="dxa"/>
            <w:shd w:val="clear" w:color="auto" w:fill="auto"/>
          </w:tcPr>
          <w:p w:rsidR="00EA1C22" w:rsidRPr="00BC2537" w:rsidRDefault="00C73235"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21"/>
        </w:trPr>
        <w:tc>
          <w:tcPr>
            <w:tcW w:w="10158" w:type="dxa"/>
            <w:gridSpan w:val="3"/>
            <w:shd w:val="clear" w:color="auto" w:fill="D9D9D9"/>
          </w:tcPr>
          <w:p w:rsidR="00EA1C22" w:rsidRPr="00D2744C" w:rsidRDefault="00EA1C22" w:rsidP="00D80E3E">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INFORMACJE DOTYCZĄCE BUDYNKU</w:t>
            </w:r>
          </w:p>
        </w:tc>
      </w:tr>
      <w:tr w:rsidR="00EA1C22" w:rsidRPr="00BC2537" w:rsidTr="001F7FC1">
        <w:trPr>
          <w:trHeight w:val="21"/>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Czy jest pozwolenie na budowę</w:t>
            </w:r>
            <w:r w:rsidRPr="00BC2537">
              <w:rPr>
                <w:rFonts w:ascii="Verdana" w:eastAsia="Times New Roman" w:hAnsi="Verdana" w:cs="Times New Roman"/>
                <w:sz w:val="16"/>
                <w:szCs w:val="16"/>
              </w:rPr>
              <w:br/>
            </w:r>
          </w:p>
        </w:tc>
        <w:tc>
          <w:tcPr>
            <w:tcW w:w="3600" w:type="dxa"/>
            <w:shd w:val="clear" w:color="auto" w:fill="auto"/>
            <w:vAlign w:val="center"/>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tak</w:t>
            </w:r>
            <w:r w:rsidRPr="00BC2537">
              <w:rPr>
                <w:rFonts w:ascii="Verdana" w:eastAsia="Times New Roman" w:hAnsi="Verdana" w:cs="Times New Roman"/>
                <w:sz w:val="16"/>
                <w:szCs w:val="16"/>
                <w:vertAlign w:val="superscript"/>
              </w:rPr>
              <w:footnoteReference w:customMarkFollows="1" w:id="7"/>
              <w:t>*</w:t>
            </w:r>
          </w:p>
        </w:tc>
        <w:tc>
          <w:tcPr>
            <w:tcW w:w="3600" w:type="dxa"/>
            <w:shd w:val="clear" w:color="auto" w:fill="auto"/>
            <w:vAlign w:val="center"/>
          </w:tcPr>
          <w:p w:rsidR="00EA1C22" w:rsidRPr="00640106" w:rsidRDefault="00EA1C22" w:rsidP="00D80E3E">
            <w:pPr>
              <w:spacing w:beforeLines="60" w:afterLines="60" w:line="240" w:lineRule="auto"/>
              <w:rPr>
                <w:rFonts w:ascii="Verdana" w:eastAsia="Times New Roman" w:hAnsi="Verdana" w:cs="Times New Roman"/>
                <w:strike/>
                <w:sz w:val="16"/>
                <w:szCs w:val="16"/>
              </w:rPr>
            </w:pPr>
            <w:r w:rsidRPr="00640106">
              <w:rPr>
                <w:rFonts w:ascii="Verdana" w:eastAsia="Times New Roman" w:hAnsi="Verdana" w:cs="Times New Roman"/>
                <w:strike/>
                <w:sz w:val="16"/>
                <w:szCs w:val="16"/>
              </w:rPr>
              <w:t>nie*</w:t>
            </w:r>
          </w:p>
        </w:tc>
      </w:tr>
      <w:tr w:rsidR="00EA1C22" w:rsidRPr="00BC2537" w:rsidTr="001F7FC1">
        <w:trPr>
          <w:trHeight w:val="21"/>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Czy pozwolenie na budowę jest ostateczne</w:t>
            </w:r>
          </w:p>
        </w:tc>
        <w:tc>
          <w:tcPr>
            <w:tcW w:w="3600" w:type="dxa"/>
            <w:shd w:val="clear" w:color="auto" w:fill="auto"/>
            <w:vAlign w:val="center"/>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tak*</w:t>
            </w:r>
          </w:p>
        </w:tc>
        <w:tc>
          <w:tcPr>
            <w:tcW w:w="3600" w:type="dxa"/>
            <w:shd w:val="clear" w:color="auto" w:fill="auto"/>
            <w:vAlign w:val="center"/>
          </w:tcPr>
          <w:p w:rsidR="00EA1C22" w:rsidRPr="00640106" w:rsidRDefault="00EA1C22" w:rsidP="00D80E3E">
            <w:pPr>
              <w:spacing w:beforeLines="60" w:afterLines="60" w:line="240" w:lineRule="auto"/>
              <w:rPr>
                <w:rFonts w:ascii="Verdana" w:eastAsia="Times New Roman" w:hAnsi="Verdana" w:cs="Times New Roman"/>
                <w:strike/>
                <w:sz w:val="16"/>
                <w:szCs w:val="16"/>
              </w:rPr>
            </w:pPr>
            <w:r w:rsidRPr="00640106">
              <w:rPr>
                <w:rFonts w:ascii="Verdana" w:eastAsia="Times New Roman" w:hAnsi="Verdana" w:cs="Times New Roman"/>
                <w:strike/>
                <w:sz w:val="16"/>
                <w:szCs w:val="16"/>
              </w:rPr>
              <w:t>nie*</w:t>
            </w:r>
          </w:p>
        </w:tc>
      </w:tr>
      <w:tr w:rsidR="00EA1C22" w:rsidRPr="00BC2537" w:rsidTr="001F7FC1">
        <w:trPr>
          <w:trHeight w:val="21"/>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Czy pozwolenie na budowę jest zaskarżone</w:t>
            </w:r>
          </w:p>
        </w:tc>
        <w:tc>
          <w:tcPr>
            <w:tcW w:w="3600" w:type="dxa"/>
            <w:shd w:val="clear" w:color="auto" w:fill="auto"/>
            <w:vAlign w:val="center"/>
          </w:tcPr>
          <w:p w:rsidR="00EA1C22" w:rsidRPr="00640106" w:rsidRDefault="00EA1C22" w:rsidP="00D80E3E">
            <w:pPr>
              <w:spacing w:beforeLines="60" w:afterLines="60" w:line="240" w:lineRule="auto"/>
              <w:rPr>
                <w:rFonts w:ascii="Verdana" w:eastAsia="Times New Roman" w:hAnsi="Verdana" w:cs="Times New Roman"/>
                <w:strike/>
                <w:sz w:val="16"/>
                <w:szCs w:val="16"/>
              </w:rPr>
            </w:pPr>
            <w:r w:rsidRPr="00640106">
              <w:rPr>
                <w:rFonts w:ascii="Verdana" w:eastAsia="Times New Roman" w:hAnsi="Verdana" w:cs="Times New Roman"/>
                <w:strike/>
                <w:sz w:val="16"/>
                <w:szCs w:val="16"/>
              </w:rPr>
              <w:t>tak*</w:t>
            </w:r>
          </w:p>
        </w:tc>
        <w:tc>
          <w:tcPr>
            <w:tcW w:w="3600" w:type="dxa"/>
            <w:shd w:val="clear" w:color="auto" w:fill="auto"/>
            <w:vAlign w:val="center"/>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nie*</w:t>
            </w:r>
          </w:p>
        </w:tc>
      </w:tr>
      <w:tr w:rsidR="00EA1C22" w:rsidRPr="00BC2537" w:rsidTr="001F7FC1">
        <w:trPr>
          <w:trHeight w:val="10"/>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pozwolenia na budowę oraz nazwa organu, który je wydał</w:t>
            </w:r>
          </w:p>
        </w:tc>
        <w:tc>
          <w:tcPr>
            <w:tcW w:w="7200" w:type="dxa"/>
            <w:gridSpan w:val="2"/>
            <w:shd w:val="clear" w:color="auto" w:fill="auto"/>
          </w:tcPr>
          <w:p w:rsidR="00EA1C22" w:rsidRPr="00BC2537" w:rsidRDefault="00640106"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66/24 PREZYDENT MIASTA SŁUPSKA</w:t>
            </w:r>
          </w:p>
        </w:tc>
      </w:tr>
      <w:tr w:rsidR="00EA1C22" w:rsidRPr="00BC2537" w:rsidTr="001F7FC1">
        <w:trPr>
          <w:trHeight w:val="10"/>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Data uprawomocnienia się decyzji o pozwoleniu na użytkowanie budynku</w:t>
            </w:r>
          </w:p>
        </w:tc>
        <w:tc>
          <w:tcPr>
            <w:tcW w:w="7200" w:type="dxa"/>
            <w:gridSpan w:val="2"/>
            <w:shd w:val="clear" w:color="auto" w:fill="auto"/>
          </w:tcPr>
          <w:p w:rsidR="00EA1C22" w:rsidRPr="00BC2537" w:rsidRDefault="00640106"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C73235" w:rsidRPr="00BC2537" w:rsidTr="001F7FC1">
        <w:trPr>
          <w:trHeight w:val="10"/>
        </w:trPr>
        <w:tc>
          <w:tcPr>
            <w:tcW w:w="2958" w:type="dxa"/>
            <w:shd w:val="clear" w:color="auto" w:fill="F3F3F3"/>
          </w:tcPr>
          <w:p w:rsidR="00C73235" w:rsidRPr="00C73235" w:rsidRDefault="00C73235" w:rsidP="00C73235">
            <w:pPr>
              <w:pStyle w:val="normal"/>
              <w:pBdr>
                <w:top w:val="nil"/>
                <w:left w:val="nil"/>
                <w:bottom w:val="nil"/>
                <w:right w:val="nil"/>
                <w:between w:val="nil"/>
              </w:pBdr>
              <w:spacing w:before="40"/>
              <w:rPr>
                <w:rFonts w:ascii="Verdana" w:hAnsi="Verdana"/>
                <w:color w:val="000000"/>
                <w:sz w:val="16"/>
                <w:szCs w:val="16"/>
              </w:rPr>
            </w:pPr>
            <w:r w:rsidRPr="00C73235">
              <w:rPr>
                <w:rFonts w:ascii="Verdana" w:hAnsi="Verdana"/>
                <w:color w:val="000000"/>
                <w:sz w:val="16"/>
                <w:szCs w:val="16"/>
              </w:rPr>
              <w:t>Numer zgłoszenia budowy,</w:t>
            </w:r>
          </w:p>
          <w:p w:rsidR="00C73235" w:rsidRPr="00BC2537" w:rsidRDefault="00C73235" w:rsidP="00C73235">
            <w:pPr>
              <w:pStyle w:val="normal"/>
              <w:pBdr>
                <w:top w:val="nil"/>
                <w:left w:val="nil"/>
                <w:bottom w:val="nil"/>
                <w:right w:val="nil"/>
                <w:between w:val="nil"/>
              </w:pBdr>
              <w:spacing w:before="35" w:line="276" w:lineRule="auto"/>
              <w:rPr>
                <w:rFonts w:ascii="Verdana" w:hAnsi="Verdana"/>
                <w:sz w:val="16"/>
                <w:szCs w:val="16"/>
              </w:rPr>
            </w:pPr>
            <w:r w:rsidRPr="00C73235">
              <w:rPr>
                <w:rFonts w:ascii="Verdana" w:hAnsi="Verdana"/>
                <w:color w:val="000000"/>
                <w:sz w:val="16"/>
                <w:szCs w:val="16"/>
              </w:rPr>
              <w:t xml:space="preserve">o której mowa w art. 29 ust. 1 pkt 1 ustawy z dnia 7 lipca 1994 r. – Prawo budowlane (Dz. U. z 2023 r. poz. 682, z </w:t>
            </w:r>
            <w:proofErr w:type="spellStart"/>
            <w:r w:rsidRPr="00C73235">
              <w:rPr>
                <w:rFonts w:ascii="Verdana" w:hAnsi="Verdana"/>
                <w:color w:val="000000"/>
                <w:sz w:val="16"/>
                <w:szCs w:val="16"/>
              </w:rPr>
              <w:t>późn</w:t>
            </w:r>
            <w:proofErr w:type="spellEnd"/>
            <w:r w:rsidRPr="00C73235">
              <w:rPr>
                <w:rFonts w:ascii="Verdana" w:hAnsi="Verdana"/>
                <w:color w:val="000000"/>
                <w:sz w:val="16"/>
                <w:szCs w:val="16"/>
              </w:rPr>
              <w:t>. zm.), oraz</w:t>
            </w:r>
            <w:r>
              <w:rPr>
                <w:rFonts w:ascii="Verdana" w:hAnsi="Verdana"/>
                <w:color w:val="000000"/>
                <w:sz w:val="16"/>
                <w:szCs w:val="16"/>
              </w:rPr>
              <w:t xml:space="preserve"> </w:t>
            </w:r>
            <w:r w:rsidRPr="00C73235">
              <w:rPr>
                <w:rFonts w:ascii="Verdana" w:hAnsi="Verdana"/>
                <w:color w:val="000000"/>
                <w:sz w:val="16"/>
                <w:szCs w:val="16"/>
              </w:rPr>
              <w:t>oznaczenie organu, do którego dokonano zgłoszenia, wraz</w:t>
            </w:r>
            <w:r>
              <w:rPr>
                <w:rFonts w:ascii="Verdana" w:hAnsi="Verdana"/>
                <w:color w:val="000000"/>
                <w:sz w:val="16"/>
                <w:szCs w:val="16"/>
              </w:rPr>
              <w:t xml:space="preserve"> </w:t>
            </w:r>
            <w:r w:rsidRPr="00C73235">
              <w:rPr>
                <w:rFonts w:ascii="Verdana" w:hAnsi="Verdana"/>
                <w:color w:val="000000"/>
                <w:sz w:val="16"/>
                <w:szCs w:val="16"/>
              </w:rPr>
              <w:t>z informacją o braku wniesienia sprzeciwu przez ten organ</w:t>
            </w:r>
          </w:p>
        </w:tc>
        <w:tc>
          <w:tcPr>
            <w:tcW w:w="7200" w:type="dxa"/>
            <w:gridSpan w:val="2"/>
            <w:shd w:val="clear" w:color="auto" w:fill="auto"/>
          </w:tcPr>
          <w:p w:rsidR="00C73235" w:rsidRDefault="00C73235"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NIE DOTYCZY</w:t>
            </w:r>
          </w:p>
        </w:tc>
      </w:tr>
      <w:tr w:rsidR="00EA1C22" w:rsidRPr="00BC2537" w:rsidTr="001F7FC1">
        <w:trPr>
          <w:trHeight w:val="10"/>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Data zakończenia budowy domu jednorodzinnego </w:t>
            </w:r>
          </w:p>
        </w:tc>
        <w:tc>
          <w:tcPr>
            <w:tcW w:w="7200" w:type="dxa"/>
            <w:gridSpan w:val="2"/>
            <w:shd w:val="clear" w:color="auto" w:fill="auto"/>
          </w:tcPr>
          <w:p w:rsidR="00203567" w:rsidRPr="00BC2537" w:rsidRDefault="00C73235"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NIE DOTYCZY</w:t>
            </w:r>
          </w:p>
        </w:tc>
      </w:tr>
      <w:tr w:rsidR="00EA1C22" w:rsidRPr="00BC2537" w:rsidTr="001F7FC1">
        <w:trPr>
          <w:trHeight w:val="10"/>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Planowany termin rozpoczęcia i zakończenia robót budowlanych</w:t>
            </w:r>
          </w:p>
        </w:tc>
        <w:tc>
          <w:tcPr>
            <w:tcW w:w="7200" w:type="dxa"/>
            <w:gridSpan w:val="2"/>
            <w:shd w:val="clear" w:color="auto" w:fill="auto"/>
          </w:tcPr>
          <w:p w:rsidR="00EA1C22" w:rsidRPr="00CF4C05" w:rsidRDefault="00203567"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 xml:space="preserve">ROZPOCZĘCIE </w:t>
            </w:r>
            <w:r w:rsidRPr="00CF4C05">
              <w:rPr>
                <w:rFonts w:ascii="Verdana" w:eastAsia="Times New Roman" w:hAnsi="Verdana" w:cs="Times New Roman"/>
                <w:sz w:val="16"/>
                <w:szCs w:val="16"/>
              </w:rPr>
              <w:t>01.10.2024</w:t>
            </w:r>
            <w:r w:rsidR="00CF4C05" w:rsidRPr="00CF4C05">
              <w:rPr>
                <w:rFonts w:ascii="Verdana" w:eastAsia="Times New Roman" w:hAnsi="Verdana" w:cs="Times New Roman"/>
                <w:sz w:val="16"/>
                <w:szCs w:val="16"/>
              </w:rPr>
              <w:t>r.</w:t>
            </w:r>
          </w:p>
          <w:p w:rsidR="00203567" w:rsidRPr="00BC2537" w:rsidRDefault="00E505B2" w:rsidP="00D80E3E">
            <w:pPr>
              <w:spacing w:beforeLines="60" w:afterLines="60" w:line="240" w:lineRule="auto"/>
              <w:rPr>
                <w:rFonts w:ascii="Verdana" w:eastAsia="Times New Roman" w:hAnsi="Verdana" w:cs="Times New Roman"/>
                <w:sz w:val="16"/>
                <w:szCs w:val="16"/>
              </w:rPr>
            </w:pPr>
            <w:r w:rsidRPr="00CF4C05">
              <w:rPr>
                <w:rFonts w:ascii="Verdana" w:eastAsia="Times New Roman" w:hAnsi="Verdana" w:cs="Times New Roman"/>
                <w:sz w:val="16"/>
                <w:szCs w:val="16"/>
              </w:rPr>
              <w:t>ZAKOŃ</w:t>
            </w:r>
            <w:r w:rsidR="00203567" w:rsidRPr="00CF4C05">
              <w:rPr>
                <w:rFonts w:ascii="Verdana" w:eastAsia="Times New Roman" w:hAnsi="Verdana" w:cs="Times New Roman"/>
                <w:sz w:val="16"/>
                <w:szCs w:val="16"/>
              </w:rPr>
              <w:t>CZENIE</w:t>
            </w:r>
            <w:r w:rsidRPr="00CF4C05">
              <w:rPr>
                <w:rFonts w:ascii="Verdana" w:eastAsia="Times New Roman" w:hAnsi="Verdana" w:cs="Times New Roman"/>
                <w:sz w:val="16"/>
                <w:szCs w:val="16"/>
              </w:rPr>
              <w:t xml:space="preserve"> 30.</w:t>
            </w:r>
            <w:r w:rsidR="00D80E3E">
              <w:rPr>
                <w:rFonts w:ascii="Verdana" w:eastAsia="Times New Roman" w:hAnsi="Verdana" w:cs="Times New Roman"/>
                <w:sz w:val="16"/>
                <w:szCs w:val="16"/>
              </w:rPr>
              <w:t>12</w:t>
            </w:r>
            <w:r w:rsidRPr="00CF4C05">
              <w:rPr>
                <w:rFonts w:ascii="Verdana" w:eastAsia="Times New Roman" w:hAnsi="Verdana" w:cs="Times New Roman"/>
                <w:sz w:val="16"/>
                <w:szCs w:val="16"/>
              </w:rPr>
              <w:t>.2025</w:t>
            </w:r>
            <w:r w:rsidR="00CF4C05" w:rsidRPr="00CF4C05">
              <w:rPr>
                <w:rFonts w:ascii="Verdana" w:eastAsia="Times New Roman" w:hAnsi="Verdana" w:cs="Times New Roman"/>
                <w:sz w:val="16"/>
                <w:szCs w:val="16"/>
              </w:rPr>
              <w:t>r.</w:t>
            </w:r>
          </w:p>
        </w:tc>
      </w:tr>
      <w:tr w:rsidR="00EA1C22" w:rsidRPr="00BC2537" w:rsidTr="001F7FC1">
        <w:trPr>
          <w:trHeight w:val="18"/>
        </w:trPr>
        <w:tc>
          <w:tcPr>
            <w:tcW w:w="2958" w:type="dxa"/>
            <w:vMerge w:val="restart"/>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Opis przedsięwzięcia deweloperskiego </w:t>
            </w:r>
            <w:r w:rsidR="00A60E59">
              <w:rPr>
                <w:rFonts w:ascii="Verdana" w:eastAsia="Times New Roman" w:hAnsi="Verdana" w:cs="Times New Roman"/>
                <w:sz w:val="16"/>
                <w:szCs w:val="16"/>
              </w:rPr>
              <w:t>lub</w:t>
            </w:r>
            <w:r w:rsidRPr="00BC2537">
              <w:rPr>
                <w:rFonts w:ascii="Verdana" w:eastAsia="Times New Roman" w:hAnsi="Verdana" w:cs="Times New Roman"/>
                <w:sz w:val="16"/>
                <w:szCs w:val="16"/>
              </w:rPr>
              <w:t xml:space="preserve"> zadania inwestycyjnego</w:t>
            </w:r>
          </w:p>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Liczba budynków </w:t>
            </w:r>
          </w:p>
        </w:tc>
        <w:tc>
          <w:tcPr>
            <w:tcW w:w="3600" w:type="dxa"/>
            <w:shd w:val="clear" w:color="auto" w:fill="auto"/>
          </w:tcPr>
          <w:p w:rsidR="003C567D" w:rsidRPr="00CA0D65" w:rsidRDefault="003C567D" w:rsidP="00D80E3E">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 xml:space="preserve">1 budynek </w:t>
            </w:r>
            <w:r w:rsidR="00CA0D65" w:rsidRPr="00CA0D65">
              <w:rPr>
                <w:rFonts w:ascii="Verdana" w:eastAsia="Times New Roman" w:hAnsi="Verdana" w:cs="Times New Roman"/>
                <w:sz w:val="16"/>
                <w:szCs w:val="16"/>
              </w:rPr>
              <w:t xml:space="preserve">wielorodzinny </w:t>
            </w:r>
            <w:r w:rsidR="008A1857">
              <w:rPr>
                <w:rFonts w:ascii="Verdana" w:eastAsia="Times New Roman" w:hAnsi="Verdana" w:cs="Times New Roman"/>
                <w:sz w:val="16"/>
                <w:szCs w:val="16"/>
              </w:rPr>
              <w:t>w zadaniu inwestycyjnym numer 3</w:t>
            </w:r>
            <w:r w:rsidR="00E02B2A" w:rsidRPr="00CA0D65">
              <w:rPr>
                <w:rFonts w:ascii="Verdana" w:eastAsia="Times New Roman" w:hAnsi="Verdana" w:cs="Times New Roman"/>
                <w:sz w:val="16"/>
                <w:szCs w:val="16"/>
              </w:rPr>
              <w:t xml:space="preserve"> stanowiący część przedsięwzięcia deweloperskiego</w:t>
            </w:r>
            <w:r w:rsidRPr="00CA0D65">
              <w:rPr>
                <w:rFonts w:ascii="Verdana" w:eastAsia="Times New Roman" w:hAnsi="Verdana" w:cs="Times New Roman"/>
                <w:sz w:val="16"/>
                <w:szCs w:val="16"/>
              </w:rPr>
              <w:t xml:space="preserve"> "SANTORINI"</w:t>
            </w:r>
            <w:r w:rsidR="00E02B2A" w:rsidRPr="00CA0D65">
              <w:rPr>
                <w:rFonts w:ascii="Verdana" w:eastAsia="Times New Roman" w:hAnsi="Verdana" w:cs="Times New Roman"/>
                <w:sz w:val="16"/>
                <w:szCs w:val="16"/>
              </w:rPr>
              <w:t xml:space="preserve"> składającego się 12 budynków</w:t>
            </w:r>
            <w:r w:rsidR="00CA0D65" w:rsidRPr="00CA0D65">
              <w:rPr>
                <w:rFonts w:ascii="Verdana" w:eastAsia="Times New Roman" w:hAnsi="Verdana" w:cs="Times New Roman"/>
                <w:sz w:val="16"/>
                <w:szCs w:val="16"/>
              </w:rPr>
              <w:t xml:space="preserve"> wielorodzinnych</w:t>
            </w:r>
          </w:p>
        </w:tc>
      </w:tr>
      <w:tr w:rsidR="00EA1C22" w:rsidRPr="00BC2537" w:rsidTr="001F7FC1">
        <w:trPr>
          <w:trHeight w:val="18"/>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Rozmieszczenie budynków na nieruchomości (należy podać minimalny odstęp między budynkami)</w:t>
            </w:r>
          </w:p>
        </w:tc>
        <w:tc>
          <w:tcPr>
            <w:tcW w:w="3600" w:type="dxa"/>
            <w:shd w:val="clear" w:color="auto" w:fill="auto"/>
          </w:tcPr>
          <w:p w:rsidR="00EA1C22" w:rsidRPr="00CA0D65" w:rsidRDefault="00750C30" w:rsidP="00D80E3E">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8,40 m</w:t>
            </w:r>
          </w:p>
        </w:tc>
      </w:tr>
      <w:tr w:rsidR="00EA1C22" w:rsidRPr="00BC2537" w:rsidTr="001F7FC1">
        <w:trPr>
          <w:trHeight w:val="28"/>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Sposób pomiaru powierzchni użytkowej</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lokalu mieszkalnego albo domu jednorodzinnego</w:t>
            </w:r>
          </w:p>
        </w:tc>
        <w:tc>
          <w:tcPr>
            <w:tcW w:w="7200" w:type="dxa"/>
            <w:gridSpan w:val="2"/>
            <w:shd w:val="clear" w:color="auto" w:fill="auto"/>
          </w:tcPr>
          <w:p w:rsidR="00EA1C22" w:rsidRPr="00CA0D65" w:rsidRDefault="005145B3" w:rsidP="00D2744C">
            <w:pPr>
              <w:spacing w:before="120" w:after="0" w:line="240" w:lineRule="auto"/>
              <w:rPr>
                <w:rFonts w:ascii="Verdana" w:eastAsia="Times New Roman" w:hAnsi="Verdana" w:cs="Times New Roman"/>
                <w:sz w:val="16"/>
                <w:szCs w:val="16"/>
                <w:lang w:eastAsia="pl-PL"/>
              </w:rPr>
            </w:pPr>
            <w:r w:rsidRPr="00CA0D65">
              <w:rPr>
                <w:rFonts w:ascii="Verdana" w:eastAsia="Times New Roman" w:hAnsi="Verdana" w:cs="Times New Roman"/>
                <w:bCs/>
                <w:sz w:val="16"/>
                <w:szCs w:val="16"/>
                <w:lang w:eastAsia="pl-PL"/>
              </w:rPr>
              <w:t xml:space="preserve">Zgodnie z normą </w:t>
            </w:r>
            <w:r w:rsidRPr="00CA0D65">
              <w:rPr>
                <w:rFonts w:ascii="Verdana" w:eastAsia="Times New Roman" w:hAnsi="Verdana" w:cs="Times New Roman"/>
                <w:sz w:val="16"/>
                <w:szCs w:val="16"/>
                <w:lang w:eastAsia="pl-PL"/>
              </w:rPr>
              <w:t>PN-ISO 9836:2022-07</w:t>
            </w:r>
            <w:r w:rsidRPr="00CA0D65">
              <w:rPr>
                <w:rFonts w:ascii="Verdana" w:eastAsia="Times New Roman" w:hAnsi="Verdana" w:cs="Times New Roman"/>
                <w:bCs/>
                <w:sz w:val="16"/>
                <w:szCs w:val="16"/>
                <w:lang w:eastAsia="pl-PL"/>
              </w:rPr>
              <w:t>, oraz </w:t>
            </w:r>
            <w:r w:rsidRPr="00CA0D65">
              <w:rPr>
                <w:rFonts w:ascii="Verdana" w:eastAsia="Times New Roman" w:hAnsi="Verdana" w:cs="Times New Roman"/>
                <w:sz w:val="16"/>
                <w:szCs w:val="16"/>
                <w:lang w:eastAsia="pl-PL"/>
              </w:rPr>
              <w:t>Rozporządzenia Ministra Rozwoju z dnia 11 września 2020 r. w sprawie szczegółowego zakresu i formy projektu budowlanego, z późniejszymi zmianami.</w:t>
            </w:r>
          </w:p>
        </w:tc>
      </w:tr>
      <w:tr w:rsidR="00EA1C22" w:rsidRPr="00BC2537" w:rsidTr="001F7FC1">
        <w:trPr>
          <w:trHeight w:val="8"/>
        </w:trPr>
        <w:tc>
          <w:tcPr>
            <w:tcW w:w="2958" w:type="dxa"/>
            <w:vMerge w:val="restart"/>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Zamierzony sposób i procentowy udział źródeł finansowania przedsięwzięcia deweloperskiego lub zadania inwestycyjnego</w:t>
            </w:r>
          </w:p>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tcPr>
          <w:p w:rsidR="00EA1C22" w:rsidRPr="009E3486" w:rsidDel="00E703EC" w:rsidRDefault="00EA1C22" w:rsidP="00D80E3E">
            <w:pPr>
              <w:spacing w:beforeLines="60" w:afterLines="60" w:line="240" w:lineRule="auto"/>
              <w:rPr>
                <w:rFonts w:ascii="Verdana" w:eastAsia="Times New Roman" w:hAnsi="Verdana" w:cs="Times New Roman"/>
                <w:color w:val="FF0000"/>
                <w:sz w:val="16"/>
                <w:szCs w:val="16"/>
              </w:rPr>
            </w:pPr>
            <w:r w:rsidRPr="009E3486">
              <w:rPr>
                <w:rFonts w:ascii="Verdana" w:eastAsia="Times New Roman" w:hAnsi="Verdana" w:cs="Times New Roman"/>
                <w:color w:val="FF0000"/>
                <w:sz w:val="16"/>
                <w:szCs w:val="16"/>
              </w:rPr>
              <w:t>Rodzaj posiadanych środków finansowych – kredyt, środki własne, inne</w:t>
            </w:r>
          </w:p>
        </w:tc>
        <w:tc>
          <w:tcPr>
            <w:tcW w:w="3600" w:type="dxa"/>
          </w:tcPr>
          <w:p w:rsidR="00EA1C22" w:rsidRPr="009E3486" w:rsidRDefault="009E3486" w:rsidP="00D80E3E">
            <w:pPr>
              <w:spacing w:beforeLines="60" w:afterLines="60" w:line="240" w:lineRule="auto"/>
              <w:rPr>
                <w:rFonts w:ascii="Verdana" w:eastAsia="Times New Roman" w:hAnsi="Verdana" w:cs="Times New Roman"/>
                <w:color w:val="FF0000"/>
                <w:sz w:val="16"/>
                <w:szCs w:val="16"/>
              </w:rPr>
            </w:pPr>
            <w:r w:rsidRPr="009E3486">
              <w:rPr>
                <w:rFonts w:ascii="Verdana" w:eastAsia="Times New Roman" w:hAnsi="Verdana" w:cs="Times New Roman"/>
                <w:color w:val="FF0000"/>
                <w:sz w:val="16"/>
                <w:szCs w:val="16"/>
              </w:rPr>
              <w:t>środki własne 5</w:t>
            </w:r>
            <w:r w:rsidR="00D37FD7" w:rsidRPr="009E3486">
              <w:rPr>
                <w:rFonts w:ascii="Verdana" w:eastAsia="Times New Roman" w:hAnsi="Verdana" w:cs="Times New Roman"/>
                <w:color w:val="FF0000"/>
                <w:sz w:val="16"/>
                <w:szCs w:val="16"/>
              </w:rPr>
              <w:t xml:space="preserve">0%, środki pozyskane od </w:t>
            </w:r>
            <w:r w:rsidRPr="009E3486">
              <w:rPr>
                <w:rFonts w:ascii="Verdana" w:eastAsia="Times New Roman" w:hAnsi="Verdana" w:cs="Times New Roman"/>
                <w:color w:val="FF0000"/>
                <w:sz w:val="16"/>
                <w:szCs w:val="16"/>
              </w:rPr>
              <w:t>nabywców 5</w:t>
            </w:r>
            <w:r w:rsidR="00D37FD7" w:rsidRPr="009E3486">
              <w:rPr>
                <w:rFonts w:ascii="Verdana" w:eastAsia="Times New Roman" w:hAnsi="Verdana" w:cs="Times New Roman"/>
                <w:color w:val="FF0000"/>
                <w:sz w:val="16"/>
                <w:szCs w:val="16"/>
              </w:rPr>
              <w:t>0%</w:t>
            </w:r>
          </w:p>
        </w:tc>
      </w:tr>
      <w:tr w:rsidR="00EA1C22" w:rsidRPr="00BC2537" w:rsidTr="001F7FC1">
        <w:trPr>
          <w:trHeight w:val="8"/>
        </w:trPr>
        <w:tc>
          <w:tcPr>
            <w:tcW w:w="2958" w:type="dxa"/>
            <w:vMerge/>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p>
        </w:tc>
        <w:tc>
          <w:tcPr>
            <w:tcW w:w="3600" w:type="dxa"/>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W następujących instytucjach finansowych (wypełnia się w przypadku kredytu)</w:t>
            </w:r>
          </w:p>
        </w:tc>
        <w:tc>
          <w:tcPr>
            <w:tcW w:w="3600" w:type="dxa"/>
          </w:tcPr>
          <w:p w:rsidR="00EA1C22" w:rsidRPr="00BC2537" w:rsidRDefault="00C73235"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NIE DOTYCZY</w:t>
            </w:r>
          </w:p>
        </w:tc>
      </w:tr>
      <w:tr w:rsidR="00894ED2" w:rsidRPr="00BC2537" w:rsidTr="001F7FC1">
        <w:trPr>
          <w:trHeight w:val="8"/>
        </w:trPr>
        <w:tc>
          <w:tcPr>
            <w:tcW w:w="2958" w:type="dxa"/>
            <w:vMerge w:val="restart"/>
            <w:shd w:val="clear" w:color="auto" w:fill="F3F3F3"/>
          </w:tcPr>
          <w:p w:rsidR="00D2744C" w:rsidRPr="00BC2537" w:rsidRDefault="00D2744C"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Środki ochrony nabywców</w:t>
            </w:r>
          </w:p>
          <w:p w:rsidR="00894ED2" w:rsidRPr="00BC2537" w:rsidRDefault="00894ED2" w:rsidP="00D80E3E">
            <w:pPr>
              <w:spacing w:beforeLines="60" w:afterLines="60" w:line="240" w:lineRule="auto"/>
              <w:rPr>
                <w:rFonts w:ascii="Verdana" w:eastAsia="Times New Roman" w:hAnsi="Verdana" w:cs="Times New Roman"/>
                <w:sz w:val="16"/>
                <w:szCs w:val="16"/>
              </w:rPr>
            </w:pPr>
          </w:p>
        </w:tc>
        <w:tc>
          <w:tcPr>
            <w:tcW w:w="3600" w:type="dxa"/>
          </w:tcPr>
          <w:p w:rsidR="00894ED2" w:rsidRPr="00BC2537" w:rsidRDefault="00894ED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Otwarty mieszkaniowy rachunek powierniczy*</w:t>
            </w:r>
          </w:p>
        </w:tc>
        <w:tc>
          <w:tcPr>
            <w:tcW w:w="3600" w:type="dxa"/>
          </w:tcPr>
          <w:p w:rsidR="00894ED2" w:rsidRPr="00A521DA" w:rsidRDefault="00894ED2" w:rsidP="00D80E3E">
            <w:pPr>
              <w:spacing w:beforeLines="60" w:afterLines="60" w:line="240" w:lineRule="auto"/>
              <w:rPr>
                <w:rFonts w:ascii="Verdana" w:eastAsia="Times New Roman" w:hAnsi="Verdana" w:cs="Times New Roman"/>
                <w:color w:val="FF0000"/>
                <w:sz w:val="16"/>
                <w:szCs w:val="16"/>
              </w:rPr>
            </w:pPr>
            <w:r w:rsidRPr="00D37FD7">
              <w:rPr>
                <w:rFonts w:ascii="Verdana" w:eastAsia="Times New Roman" w:hAnsi="Verdana" w:cs="Times New Roman"/>
                <w:strike/>
                <w:sz w:val="16"/>
                <w:szCs w:val="16"/>
              </w:rPr>
              <w:t>Zamknięty mieszkaniowy rachunek powierniczy*</w:t>
            </w:r>
          </w:p>
        </w:tc>
      </w:tr>
      <w:tr w:rsidR="00894ED2" w:rsidRPr="00BC2537" w:rsidTr="001F7FC1">
        <w:trPr>
          <w:trHeight w:val="8"/>
        </w:trPr>
        <w:tc>
          <w:tcPr>
            <w:tcW w:w="2958" w:type="dxa"/>
            <w:vMerge/>
            <w:shd w:val="clear" w:color="auto" w:fill="F3F3F3"/>
          </w:tcPr>
          <w:p w:rsidR="00894ED2" w:rsidRPr="00BC2537" w:rsidRDefault="00894ED2" w:rsidP="00D80E3E">
            <w:pPr>
              <w:spacing w:beforeLines="60" w:afterLines="60" w:line="240" w:lineRule="auto"/>
              <w:rPr>
                <w:rFonts w:ascii="Verdana" w:eastAsia="Times New Roman" w:hAnsi="Verdana" w:cs="Times New Roman"/>
                <w:sz w:val="16"/>
                <w:szCs w:val="16"/>
              </w:rPr>
            </w:pPr>
          </w:p>
        </w:tc>
        <w:tc>
          <w:tcPr>
            <w:tcW w:w="3600" w:type="dxa"/>
          </w:tcPr>
          <w:p w:rsidR="00056A78" w:rsidRPr="006A1BE7" w:rsidRDefault="00056A78" w:rsidP="006F6789">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Wysokość stawki procentowej,</w:t>
            </w:r>
          </w:p>
          <w:p w:rsidR="00056A78" w:rsidRPr="006A1BE7" w:rsidRDefault="00056A78" w:rsidP="00056A78">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według której jest obliczana kwota</w:t>
            </w:r>
          </w:p>
          <w:p w:rsidR="00056A78" w:rsidRPr="006A1BE7" w:rsidRDefault="00056A78" w:rsidP="00056A78">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składki na Deweloperski Fundusz</w:t>
            </w:r>
          </w:p>
          <w:p w:rsidR="00894ED2" w:rsidRPr="00056A78" w:rsidRDefault="00056A78" w:rsidP="006F6789">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Gwarancyjny</w:t>
            </w:r>
            <w:r w:rsidRPr="006A1BE7">
              <w:rPr>
                <w:rFonts w:ascii="Verdana" w:eastAsia="TimesNewRoman" w:hAnsi="Verdana" w:cs="TimesNewRoman"/>
                <w:sz w:val="16"/>
                <w:szCs w:val="16"/>
                <w:vertAlign w:val="superscript"/>
              </w:rPr>
              <w:t>7</w:t>
            </w:r>
            <w:r w:rsidRPr="006A1BE7">
              <w:rPr>
                <w:rFonts w:ascii="Verdana" w:eastAsia="TimesNewRoman" w:hAnsi="Verdana" w:cs="Times"/>
                <w:sz w:val="16"/>
                <w:szCs w:val="16"/>
                <w:vertAlign w:val="superscript"/>
              </w:rPr>
              <w:t>)</w:t>
            </w:r>
          </w:p>
        </w:tc>
        <w:tc>
          <w:tcPr>
            <w:tcW w:w="3600" w:type="dxa"/>
          </w:tcPr>
          <w:p w:rsidR="00894ED2" w:rsidRPr="00CA0D65" w:rsidRDefault="00894ED2" w:rsidP="00D80E3E">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0,45%</w:t>
            </w:r>
          </w:p>
        </w:tc>
      </w:tr>
      <w:tr w:rsidR="00EA1C22" w:rsidRPr="00BC2537" w:rsidTr="001F7FC1">
        <w:trPr>
          <w:trHeight w:val="8"/>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lastRenderedPageBreak/>
              <w:t>Główne zasady funkcjonowania wybranego rodzaju zabezpieczenia środków nabywcy</w:t>
            </w:r>
          </w:p>
        </w:tc>
        <w:tc>
          <w:tcPr>
            <w:tcW w:w="7200" w:type="dxa"/>
            <w:gridSpan w:val="2"/>
          </w:tcPr>
          <w:p w:rsidR="000030B3" w:rsidRPr="009E5900" w:rsidRDefault="000030B3" w:rsidP="00334BF7">
            <w:pPr>
              <w:pStyle w:val="Default"/>
              <w:spacing w:before="120" w:after="120"/>
              <w:rPr>
                <w:rFonts w:ascii="Verdana" w:hAnsi="Verdana"/>
                <w:sz w:val="16"/>
                <w:szCs w:val="16"/>
              </w:rPr>
            </w:pPr>
            <w:r w:rsidRPr="009E5900">
              <w:rPr>
                <w:rFonts w:ascii="Verdana" w:hAnsi="Verdana"/>
                <w:sz w:val="16"/>
                <w:szCs w:val="16"/>
              </w:rPr>
              <w:t>1. Deweloper zapewnia nabywcy następujący środ</w:t>
            </w:r>
            <w:r>
              <w:rPr>
                <w:rFonts w:ascii="Verdana" w:hAnsi="Verdana"/>
                <w:sz w:val="16"/>
                <w:szCs w:val="16"/>
              </w:rPr>
              <w:t>ek</w:t>
            </w:r>
            <w:r w:rsidRPr="009E5900">
              <w:rPr>
                <w:rFonts w:ascii="Verdana" w:hAnsi="Verdana"/>
                <w:sz w:val="16"/>
                <w:szCs w:val="16"/>
              </w:rPr>
              <w:t xml:space="preserve"> ochrony wpłat dokonywanych przez nabywcę:  otwarty mieszkaniowy rachunek powierniczy; </w:t>
            </w:r>
          </w:p>
          <w:p w:rsidR="000030B3" w:rsidRPr="009E5900" w:rsidRDefault="000030B3" w:rsidP="00334BF7">
            <w:pPr>
              <w:pStyle w:val="Default"/>
              <w:pageBreakBefore/>
              <w:spacing w:before="120" w:after="120"/>
              <w:rPr>
                <w:rFonts w:ascii="Verdana" w:hAnsi="Verdana"/>
                <w:color w:val="auto"/>
                <w:sz w:val="16"/>
                <w:szCs w:val="16"/>
              </w:rPr>
            </w:pPr>
            <w:r w:rsidRPr="009E5900">
              <w:rPr>
                <w:rFonts w:ascii="Verdana" w:hAnsi="Verdana"/>
                <w:color w:val="auto"/>
                <w:sz w:val="16"/>
                <w:szCs w:val="16"/>
              </w:rPr>
              <w:t xml:space="preserve">2. Deweloper ma obowiązek dokonywać terminowych wpłat składek na Deweloperski Fundusz Gwarancyjny odpowiednio do wybranego rodzaju środka ochrony, o którym mowa w ust. 1, na zasadach określonych w art. 49.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7. </w:t>
            </w:r>
            <w:r w:rsidRPr="009E5900">
              <w:rPr>
                <w:rFonts w:ascii="Verdana" w:hAnsi="Verdana"/>
                <w:color w:val="auto"/>
                <w:sz w:val="16"/>
                <w:szCs w:val="16"/>
              </w:rPr>
              <w:t xml:space="preserve">1. Deweloper, który rozpoczyna sprzedaż, ma obowiązek zawarcia umowy otwartego mieszkaniowego rachunku powierniczego albo zamkniętego mieszkaniowego rachunku powierniczego, zwanego dalej „mieszkaniowym rachunkiem powierniczym”, dla danego przedsięwzięcia deweloperskiego.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W przypadku wyodrębnienia z przedsięwzięcia deweloperskiego zadania inwestycyjnego deweloper, który rozpoczyna sprzedaż, ma obowiązek zawarcia umowy mieszkaniowego rachunku powierniczego odrębnie dla każdego zadania inwestycyjnego.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3. Deweloper jest obowiązany do posiadania mieszkaniowego rachunku powierniczego prowadzonego dla danego przedsięwzięcia deweloperskiego lub zadania inwestycyjnego do dnia, w którym nastąpi przeniesienie praw z ostatniej umowy deweloperskiej lub ostatniej umowy, o której mowa w art. 2 ust. 1 pkt 2, 3 lub 5 lub ust. 2, w ramach tego przedsięwzięcia lub zadania.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4. Bank lub spółdzielcza kasa oszczędnościowo-kredytowa, zwana dalej „kasą”, prowadzące mieszkaniowy rachunek powierniczy ewidencjonują wpłaty i wypłaty odrębnie dla każdego nabywcy, a na żądanie nabywcy podają szczegółowe informacje dotyczące wpłat i wypłat dokonanych w wykonaniu umowy, której stroną jest nabywca występujący z żądaniem udzielenia informacji, takie jak data oraz kwoty wpłat i wypłat.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5. Deweloper, który zawiera umowę mieszkaniowego rachunku powierniczego z oddziałem instytucji kredytowej w rozumieniu art. 4 ust. 1 pkt 18 ustawy z dnia 29 sierpnia 1997 r. – Prawo bankowe, zapewnia, aby poziom ochrony wpłat dokonywanych przez nabywcę na ten mieszkaniowy rachunek powierniczy odpowiadał co najmniej poziomowi ochrony wpłat nabywcy określonemu w ustawie.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8. </w:t>
            </w:r>
            <w:r w:rsidRPr="009E5900">
              <w:rPr>
                <w:rFonts w:ascii="Verdana" w:hAnsi="Verdana"/>
                <w:color w:val="auto"/>
                <w:sz w:val="16"/>
                <w:szCs w:val="16"/>
              </w:rPr>
              <w:t xml:space="preserve">1. Nabywca dokonuje wpłat na mieszkaniowy rachunek powierniczy zgodnie z postępem realizacji przedsięwzięcia deweloperskiego lub zadania inwestycyjnego. </w:t>
            </w:r>
          </w:p>
          <w:p w:rsidR="000030B3" w:rsidRPr="009E5900" w:rsidRDefault="000030B3" w:rsidP="00334BF7">
            <w:pPr>
              <w:pStyle w:val="Default"/>
              <w:pageBreakBefore/>
              <w:spacing w:before="120" w:after="120"/>
              <w:rPr>
                <w:rFonts w:ascii="Verdana" w:hAnsi="Verdana"/>
                <w:color w:val="auto"/>
                <w:sz w:val="16"/>
                <w:szCs w:val="16"/>
              </w:rPr>
            </w:pPr>
            <w:r w:rsidRPr="009E5900">
              <w:rPr>
                <w:rFonts w:ascii="Verdana" w:hAnsi="Verdana"/>
                <w:color w:val="auto"/>
                <w:sz w:val="16"/>
                <w:szCs w:val="16"/>
              </w:rPr>
              <w:t xml:space="preserve">2. Wysokość wpłat dokonywanych przez nabywcę jest uzależniona od faktycznego stopnia realizacji poszczególnych etapów przedsięwzięcia deweloperskiego lub zadania inwestycyjnego, określonych w ich harmonogramach.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3. Nabywca dokonuje wpłat na mieszkaniowy rachunek powierniczy po zakończeniu danego etapu przedsięwzięcia deweloperskiego lub zadania inwestycyjnego, określonego w ich harmonogramach. Deweloper informuje nabywcę na papierze lub innym trwałym nośniku o zakończeniu danego etapu przedsięwzięcia deweloperskiego lub zadania inwestycyjnego.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9. </w:t>
            </w:r>
            <w:r w:rsidRPr="009E5900">
              <w:rPr>
                <w:rFonts w:ascii="Verdana" w:hAnsi="Verdana"/>
                <w:color w:val="auto"/>
                <w:sz w:val="16"/>
                <w:szCs w:val="16"/>
              </w:rPr>
              <w:t xml:space="preserve">1. Prawo wypowiedzenia umowy mieszkaniowego rachunku powierniczego przysługuje wyłącznie bankowi lub kasie i tylko z ważnych powodów.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Termin wypowiedzenia umowy mieszkaniowego rachunku powierniczego wynosi 60 dni, z zastrzeżeniem że termin ten ulega skróceniu, w przypadku gdy przed jego upływem deweloper zawrze umowę mieszkaniowego rachunku powierniczego z innym bankiem lub inną kasą.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3. Bank lub kasa informują nabywcę na papierze lub innym trwałym nośniku o terminie, w którym wypowiedziały umowę mieszkaniowego rachunku powierniczego, w terminie 10 dni od dnia jej wypowiedzenia.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10. </w:t>
            </w:r>
            <w:r w:rsidRPr="009E5900">
              <w:rPr>
                <w:rFonts w:ascii="Verdana" w:hAnsi="Verdana"/>
                <w:color w:val="auto"/>
                <w:sz w:val="16"/>
                <w:szCs w:val="16"/>
              </w:rPr>
              <w:t xml:space="preserve">1. W przypadku wypowiedzenia umowy mieszkaniowego rachunku powierniczego deweloper niezwłocznie zawiera z innym bankiem lub inną kasą umowę mieszkaniowego rachunku powierniczego, jednak nie później niż w terminie 60 dni od dnia wypowiedzenia tej umowy przez bank lub kasę, z zastrzeżeniem że przedmiotem zawieranej umowy jest prowadzenie takiego samego rodzaju mieszkaniowego rachunku powierniczego jak w przypadku umowy, która została wypowiedziana.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2. Środki zgromadzone na likwidowanym mieszkaniowym rachunku powierniczym są niezwłocznie przekazywane przez bank lub kasę, w których dotychczas prowadzono taki rachunek, na mieszkaniowy rachunek powierniczy otwarty przez dewelopera w innym banku lub innej kasie, po przedstawieniu przez dewelopera oświadczenia z tego banku lub z tej kasy potwierdzającego, że rachunek, na który mają być przekazane środki, jest mieszkaniowym rachunkiem powierniczym w rozumieniu ustawy</w:t>
            </w:r>
            <w:r>
              <w:rPr>
                <w:rFonts w:ascii="Verdana" w:hAnsi="Verdana"/>
                <w:color w:val="auto"/>
                <w:sz w:val="16"/>
                <w:szCs w:val="16"/>
              </w:rPr>
              <w:t>.</w:t>
            </w:r>
          </w:p>
          <w:p w:rsidR="000030B3" w:rsidRPr="009E5900" w:rsidRDefault="000030B3" w:rsidP="00334BF7">
            <w:pPr>
              <w:pStyle w:val="Default"/>
              <w:pageBreakBefore/>
              <w:spacing w:before="120" w:after="120"/>
              <w:rPr>
                <w:rFonts w:ascii="Verdana" w:hAnsi="Verdana"/>
                <w:color w:val="auto"/>
                <w:sz w:val="16"/>
                <w:szCs w:val="16"/>
              </w:rPr>
            </w:pPr>
            <w:r w:rsidRPr="009E5900">
              <w:rPr>
                <w:rFonts w:ascii="Verdana" w:hAnsi="Verdana"/>
                <w:color w:val="auto"/>
                <w:sz w:val="16"/>
                <w:szCs w:val="16"/>
              </w:rPr>
              <w:t xml:space="preserve">3. W przypadku gdy deweloper nie przedstawi oświadczenia banku lub kasy, o którym mowa w ust. 2, w terminie 60 dni od dnia wypowiedzenia umowy mieszkaniowego rachunku powierniczego, bank lub kasa niezwłocznie zwracają nabywcom środki znajdujące się na tym rachunku.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4. W czasie obowiązywania umowy, o której mowa w art. 7 ust. 1, oraz w terminie, o którym mowa w ust. 3, umowa o prowadzenie mieszkaniowego rachunku powierniczego nie może ulec zmianie bez zgody nabywcy, z wyjątkiem wysokości oprocentowania środków pieniężnych gromadzonych na tym rachunku, z tym że sposób ustalania wysokości oprocentowania jest określony w tej umowie.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11. </w:t>
            </w:r>
            <w:r w:rsidRPr="009E5900">
              <w:rPr>
                <w:rFonts w:ascii="Verdana" w:hAnsi="Verdana"/>
                <w:color w:val="auto"/>
                <w:sz w:val="16"/>
                <w:szCs w:val="16"/>
              </w:rPr>
              <w:t xml:space="preserve">1. Deweloper, w terminie 10 dni od dnia zawarcia umowy mieszkaniowego rachunku powierniczego w trybie, o którym mowa w art. 10 ust. 1, informuje nabywcę na papierze lub innym trwałym nośniku o dokonanej zmianie.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Nabywca może wstrzymać dokonywanie kolejnych wpłat na mieszkaniowy rachunek </w:t>
            </w:r>
            <w:r w:rsidRPr="009E5900">
              <w:rPr>
                <w:rFonts w:ascii="Verdana" w:hAnsi="Verdana"/>
                <w:color w:val="auto"/>
                <w:sz w:val="16"/>
                <w:szCs w:val="16"/>
              </w:rPr>
              <w:lastRenderedPageBreak/>
              <w:t xml:space="preserve">powierniczy do czasu wykonania przez dewelopera obowiązku, o którym mowa w ust. 1.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12. </w:t>
            </w:r>
            <w:r w:rsidRPr="009E5900">
              <w:rPr>
                <w:rFonts w:ascii="Verdana" w:hAnsi="Verdana"/>
                <w:color w:val="auto"/>
                <w:sz w:val="16"/>
                <w:szCs w:val="16"/>
              </w:rPr>
              <w:t xml:space="preserve">1. Deweloper, w terminie 30 dni od dnia podania do publicznej wiadomości informacji o spełnieniu warunku gwarancji w rozumieniu art. 2 pkt 57 lit. a, b lub c ustawy z dnia 10 czerwca 2016 r. o Bankowym Funduszu Gwarancyjnym, systemie gwarantowania depozytów oraz przymusowej restrukturyzacji (Dz. U. z 2022 r. poz. 2253 oraz z 2023 r. poz. 825, 1705, 1784 i 1843) wobec banku lub kasy prowadzących mieszkaniowy rachunek powierniczy dla przedsięwzięcia deweloperskiego lub zadania inwestycyjnego tego dewelopera, zawiera umowę mieszkaniowego rachunku powierniczego z innym bankiem lub inną kasą.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W terminie 10 dni od dnia zawarcia umowy mieszkaniowego rachunku powierniczego z innym bankiem lub inną kasą deweloper informuje nabywcę na papierze lub innym trwałym nośniku o dokonanej zmianie i przekazuje mu oświadczenie banku lub kasy, o którym mowa w art. 10 ust. 2.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13. </w:t>
            </w:r>
            <w:r w:rsidRPr="009E5900">
              <w:rPr>
                <w:rFonts w:ascii="Verdana" w:hAnsi="Verdana"/>
                <w:color w:val="auto"/>
                <w:sz w:val="16"/>
                <w:szCs w:val="16"/>
              </w:rPr>
              <w:t xml:space="preserve">Deweloper dysponuje środkami wypłacanymi z otwartego mieszkaniowego rachunku powierniczego w celu finansowania lub refinansowania przedsięwzięcia deweloperskiego lub zadania inwestycyjnego, dla którego jest prowadzony ten rachunek. </w:t>
            </w:r>
          </w:p>
          <w:p w:rsidR="000030B3" w:rsidRDefault="000030B3" w:rsidP="00334BF7">
            <w:pPr>
              <w:pStyle w:val="Default"/>
              <w:pageBreakBefore/>
              <w:spacing w:before="120" w:after="120"/>
              <w:rPr>
                <w:rFonts w:ascii="Verdana" w:hAnsi="Verdana"/>
                <w:color w:val="auto"/>
                <w:sz w:val="16"/>
                <w:szCs w:val="16"/>
              </w:rPr>
            </w:pPr>
            <w:r w:rsidRPr="009E5900">
              <w:rPr>
                <w:rFonts w:ascii="Verdana" w:hAnsi="Verdana"/>
                <w:bCs/>
                <w:color w:val="auto"/>
                <w:sz w:val="16"/>
                <w:szCs w:val="16"/>
              </w:rPr>
              <w:t xml:space="preserve">Art. 14. </w:t>
            </w:r>
            <w:r w:rsidRPr="009E5900">
              <w:rPr>
                <w:rFonts w:ascii="Verdana" w:hAnsi="Verdana"/>
                <w:color w:val="auto"/>
                <w:sz w:val="16"/>
                <w:szCs w:val="16"/>
              </w:rPr>
              <w:t xml:space="preserve">1. Koszty, opłaty i prowizje za prowadzenie mieszkaniowego rachunku powierniczego obciążają dewelopera. </w:t>
            </w:r>
          </w:p>
          <w:p w:rsidR="00EA1C22" w:rsidRPr="00BC2537" w:rsidRDefault="000030B3" w:rsidP="00334BF7">
            <w:pPr>
              <w:pStyle w:val="Default"/>
              <w:pageBreakBefore/>
              <w:spacing w:before="120" w:after="120"/>
              <w:rPr>
                <w:rFonts w:ascii="Verdana" w:eastAsia="Times New Roman" w:hAnsi="Verdana"/>
                <w:sz w:val="16"/>
                <w:szCs w:val="16"/>
              </w:rPr>
            </w:pPr>
            <w:r w:rsidRPr="009E5900">
              <w:rPr>
                <w:rFonts w:ascii="Verdana" w:hAnsi="Verdana"/>
                <w:color w:val="auto"/>
                <w:sz w:val="16"/>
                <w:szCs w:val="16"/>
              </w:rPr>
              <w:t>2. Środki pieniężne wpłacone przez nabywcę na mieszkaniowy rachunek powierniczy nie mogą być pomniejszone o koszty, opłaty i prowizje, o których mowa w ust. 1.</w:t>
            </w:r>
          </w:p>
        </w:tc>
      </w:tr>
      <w:tr w:rsidR="00EA1C22" w:rsidRPr="00BC2537" w:rsidTr="001F7FC1">
        <w:trPr>
          <w:trHeight w:val="16"/>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lastRenderedPageBreak/>
              <w:t>Nazwa instytucji zapewniającej bezpieczeństwo środków nabywcy</w:t>
            </w:r>
          </w:p>
        </w:tc>
        <w:tc>
          <w:tcPr>
            <w:tcW w:w="7200" w:type="dxa"/>
            <w:gridSpan w:val="2"/>
            <w:shd w:val="clear" w:color="auto" w:fill="auto"/>
          </w:tcPr>
          <w:p w:rsidR="00EA1C22" w:rsidRPr="00BC2537" w:rsidRDefault="00DE2458" w:rsidP="00D80E3E">
            <w:pPr>
              <w:spacing w:beforeLines="60" w:afterLines="60" w:line="240" w:lineRule="auto"/>
              <w:rPr>
                <w:rFonts w:ascii="Verdana" w:eastAsia="Times New Roman" w:hAnsi="Verdana" w:cs="Times New Roman"/>
                <w:sz w:val="16"/>
                <w:szCs w:val="16"/>
              </w:rPr>
            </w:pPr>
            <w:proofErr w:type="spellStart"/>
            <w:r>
              <w:rPr>
                <w:rFonts w:ascii="Verdana" w:eastAsia="Times New Roman" w:hAnsi="Verdana" w:cs="Times New Roman"/>
                <w:sz w:val="16"/>
                <w:szCs w:val="16"/>
              </w:rPr>
              <w:t>mBank</w:t>
            </w:r>
            <w:proofErr w:type="spellEnd"/>
          </w:p>
        </w:tc>
      </w:tr>
      <w:tr w:rsidR="00EA1C22" w:rsidRPr="00BC2537" w:rsidTr="001F7FC1">
        <w:trPr>
          <w:trHeight w:val="28"/>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Harmonogram przedsięwzięcia deweloperskiego lub</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zadania inwestycyjnego</w:t>
            </w:r>
          </w:p>
        </w:tc>
        <w:tc>
          <w:tcPr>
            <w:tcW w:w="7200" w:type="dxa"/>
            <w:gridSpan w:val="2"/>
            <w:shd w:val="clear" w:color="auto" w:fill="auto"/>
          </w:tcPr>
          <w:p w:rsidR="00A521DA" w:rsidRPr="00CA0D65" w:rsidRDefault="00A521DA" w:rsidP="005E61F1">
            <w:pPr>
              <w:pStyle w:val="Akapitzlist"/>
              <w:widowControl/>
              <w:numPr>
                <w:ilvl w:val="0"/>
                <w:numId w:val="6"/>
              </w:numPr>
              <w:autoSpaceDE/>
              <w:autoSpaceDN/>
              <w:adjustRightInd/>
              <w:spacing w:before="120" w:line="240" w:lineRule="auto"/>
              <w:ind w:left="357" w:hanging="357"/>
              <w:jc w:val="both"/>
              <w:rPr>
                <w:rFonts w:ascii="Verdana" w:hAnsi="Verdana"/>
                <w:sz w:val="16"/>
                <w:szCs w:val="16"/>
              </w:rPr>
            </w:pPr>
            <w:r w:rsidRPr="00CA0D65">
              <w:rPr>
                <w:rFonts w:ascii="Verdana" w:hAnsi="Verdana"/>
                <w:sz w:val="16"/>
                <w:szCs w:val="16"/>
              </w:rPr>
              <w:t>ETAP I - 25% planowane zakończenie etapu do 30.</w:t>
            </w:r>
            <w:r w:rsidR="00503813">
              <w:rPr>
                <w:rFonts w:ascii="Verdana" w:hAnsi="Verdana"/>
                <w:sz w:val="16"/>
                <w:szCs w:val="16"/>
              </w:rPr>
              <w:t>01</w:t>
            </w:r>
            <w:r w:rsidRPr="00CA0D65">
              <w:rPr>
                <w:rFonts w:ascii="Verdana" w:hAnsi="Verdana"/>
                <w:sz w:val="16"/>
                <w:szCs w:val="16"/>
              </w:rPr>
              <w:t>.202</w:t>
            </w:r>
            <w:r w:rsidR="00900963" w:rsidRPr="00CA0D65">
              <w:rPr>
                <w:rFonts w:ascii="Verdana" w:hAnsi="Verdana"/>
                <w:sz w:val="16"/>
                <w:szCs w:val="16"/>
              </w:rPr>
              <w:t>4</w:t>
            </w:r>
            <w:r w:rsidRPr="00CA0D65">
              <w:rPr>
                <w:rFonts w:ascii="Verdana" w:hAnsi="Verdana"/>
                <w:sz w:val="16"/>
                <w:szCs w:val="16"/>
              </w:rPr>
              <w:t>r.</w:t>
            </w:r>
          </w:p>
          <w:p w:rsidR="00A521DA" w:rsidRPr="00CA0D65" w:rsidRDefault="00A521DA" w:rsidP="0008385F">
            <w:pPr>
              <w:tabs>
                <w:tab w:val="left" w:pos="225"/>
              </w:tabs>
              <w:suppressAutoHyphens/>
              <w:spacing w:after="0" w:line="240" w:lineRule="auto"/>
              <w:ind w:left="357"/>
              <w:jc w:val="both"/>
              <w:rPr>
                <w:rFonts w:ascii="Verdana" w:eastAsia="Calibri" w:hAnsi="Verdana" w:cs="Arial"/>
                <w:sz w:val="16"/>
                <w:szCs w:val="16"/>
              </w:rPr>
            </w:pPr>
            <w:r w:rsidRPr="00CA0D65">
              <w:rPr>
                <w:rFonts w:ascii="Verdana" w:eastAsia="Calibri" w:hAnsi="Verdana" w:cs="Arial"/>
                <w:sz w:val="16"/>
                <w:szCs w:val="16"/>
              </w:rPr>
              <w:t xml:space="preserve">zakup nieruchomości, prace projektowe, uzyskanie pozwolenia na budowę, </w:t>
            </w:r>
            <w:r w:rsidR="008671B0" w:rsidRPr="00CA0D65">
              <w:rPr>
                <w:rFonts w:ascii="Verdana" w:eastAsia="Calibri" w:hAnsi="Verdana" w:cs="Arial"/>
                <w:sz w:val="16"/>
                <w:szCs w:val="16"/>
              </w:rPr>
              <w:t>przygotowanie zaplecza budowy, przygotowanie terenu budowy</w:t>
            </w:r>
            <w:r w:rsidRPr="00CA0D65">
              <w:rPr>
                <w:rFonts w:ascii="Verdana" w:eastAsia="Calibri" w:hAnsi="Verdana" w:cs="Arial"/>
                <w:sz w:val="16"/>
                <w:szCs w:val="16"/>
              </w:rPr>
              <w:t>, wytyczenie budynk</w:t>
            </w:r>
            <w:r w:rsidR="00900963" w:rsidRPr="00CA0D65">
              <w:rPr>
                <w:rFonts w:ascii="Verdana" w:eastAsia="Calibri" w:hAnsi="Verdana" w:cs="Arial"/>
                <w:sz w:val="16"/>
                <w:szCs w:val="16"/>
              </w:rPr>
              <w:t>u</w:t>
            </w:r>
            <w:r w:rsidR="008671B0" w:rsidRPr="00CA0D65">
              <w:rPr>
                <w:rFonts w:ascii="Verdana" w:eastAsia="Calibri" w:hAnsi="Verdana" w:cs="Arial"/>
                <w:sz w:val="16"/>
                <w:szCs w:val="16"/>
              </w:rPr>
              <w:t>, rozpoczęcie prac budowlanych.</w:t>
            </w:r>
          </w:p>
          <w:p w:rsidR="00A521DA" w:rsidRPr="00CA0D65" w:rsidRDefault="00A521DA" w:rsidP="0008385F">
            <w:pPr>
              <w:pStyle w:val="Akapitzlist"/>
              <w:widowControl/>
              <w:numPr>
                <w:ilvl w:val="0"/>
                <w:numId w:val="7"/>
              </w:numPr>
              <w:autoSpaceDE/>
              <w:autoSpaceDN/>
              <w:adjustRightInd/>
              <w:spacing w:line="240" w:lineRule="auto"/>
              <w:ind w:left="357"/>
              <w:jc w:val="both"/>
              <w:rPr>
                <w:rFonts w:ascii="Verdana" w:hAnsi="Verdana"/>
                <w:sz w:val="16"/>
                <w:szCs w:val="16"/>
              </w:rPr>
            </w:pPr>
            <w:r w:rsidRPr="00CA0D65">
              <w:rPr>
                <w:rFonts w:ascii="Verdana" w:hAnsi="Verdana"/>
                <w:sz w:val="16"/>
                <w:szCs w:val="16"/>
              </w:rPr>
              <w:t>ETAP  II - 25% planowane zakończenie etapu do 30.</w:t>
            </w:r>
            <w:r w:rsidR="00503813">
              <w:rPr>
                <w:rFonts w:ascii="Verdana" w:hAnsi="Verdana"/>
                <w:sz w:val="16"/>
                <w:szCs w:val="16"/>
              </w:rPr>
              <w:t>04</w:t>
            </w:r>
            <w:r w:rsidRPr="00CA0D65">
              <w:rPr>
                <w:rFonts w:ascii="Verdana" w:hAnsi="Verdana"/>
                <w:sz w:val="16"/>
                <w:szCs w:val="16"/>
              </w:rPr>
              <w:t>.202</w:t>
            </w:r>
            <w:r w:rsidR="00D51027" w:rsidRPr="00CA0D65">
              <w:rPr>
                <w:rFonts w:ascii="Verdana" w:hAnsi="Verdana"/>
                <w:sz w:val="16"/>
                <w:szCs w:val="16"/>
              </w:rPr>
              <w:t>5</w:t>
            </w:r>
            <w:r w:rsidRPr="00CA0D65">
              <w:rPr>
                <w:rFonts w:ascii="Verdana" w:hAnsi="Verdana"/>
                <w:sz w:val="16"/>
                <w:szCs w:val="16"/>
              </w:rPr>
              <w:t>r.</w:t>
            </w:r>
          </w:p>
          <w:p w:rsidR="00A521DA" w:rsidRPr="00CA0D65" w:rsidRDefault="00A521DA" w:rsidP="00334BF7">
            <w:pPr>
              <w:pStyle w:val="Akapitzlist"/>
              <w:spacing w:before="120" w:after="120" w:line="240" w:lineRule="auto"/>
              <w:ind w:left="357"/>
              <w:jc w:val="both"/>
              <w:rPr>
                <w:rFonts w:ascii="Verdana" w:hAnsi="Verdana"/>
                <w:sz w:val="16"/>
                <w:szCs w:val="16"/>
              </w:rPr>
            </w:pPr>
            <w:r w:rsidRPr="00CA0D65">
              <w:rPr>
                <w:rFonts w:ascii="Verdana" w:hAnsi="Verdana"/>
                <w:sz w:val="16"/>
                <w:szCs w:val="16"/>
              </w:rPr>
              <w:t>roboty ziemne, p</w:t>
            </w:r>
            <w:r w:rsidR="00D51027" w:rsidRPr="00CA0D65">
              <w:rPr>
                <w:rFonts w:ascii="Verdana" w:hAnsi="Verdana"/>
                <w:sz w:val="16"/>
                <w:szCs w:val="16"/>
              </w:rPr>
              <w:t>rzepusty pod fundamenty</w:t>
            </w:r>
            <w:r w:rsidRPr="00CA0D65">
              <w:rPr>
                <w:rFonts w:ascii="Verdana" w:hAnsi="Verdana"/>
                <w:sz w:val="16"/>
                <w:szCs w:val="16"/>
              </w:rPr>
              <w:t>, wy</w:t>
            </w:r>
            <w:r w:rsidR="00D51027" w:rsidRPr="00CA0D65">
              <w:rPr>
                <w:rFonts w:ascii="Verdana" w:hAnsi="Verdana"/>
                <w:sz w:val="16"/>
                <w:szCs w:val="16"/>
              </w:rPr>
              <w:t>konanie fundamentów</w:t>
            </w:r>
            <w:r w:rsidRPr="00CA0D65">
              <w:rPr>
                <w:rFonts w:ascii="Verdana" w:hAnsi="Verdana"/>
                <w:sz w:val="16"/>
                <w:szCs w:val="16"/>
              </w:rPr>
              <w:t xml:space="preserve">, budowa ścian zewnętrznych parteru. </w:t>
            </w:r>
          </w:p>
          <w:p w:rsidR="00A521DA" w:rsidRPr="00CA0D65" w:rsidRDefault="00A521DA" w:rsidP="00334BF7">
            <w:pPr>
              <w:pStyle w:val="Akapitzlist"/>
              <w:widowControl/>
              <w:numPr>
                <w:ilvl w:val="0"/>
                <w:numId w:val="7"/>
              </w:numPr>
              <w:autoSpaceDE/>
              <w:autoSpaceDN/>
              <w:adjustRightInd/>
              <w:spacing w:before="120" w:after="120" w:line="240" w:lineRule="auto"/>
              <w:ind w:left="357"/>
              <w:jc w:val="both"/>
              <w:rPr>
                <w:rFonts w:ascii="Verdana" w:hAnsi="Verdana"/>
                <w:sz w:val="16"/>
                <w:szCs w:val="16"/>
              </w:rPr>
            </w:pPr>
            <w:r w:rsidRPr="00CA0D65">
              <w:rPr>
                <w:rFonts w:ascii="Verdana" w:hAnsi="Verdana"/>
                <w:sz w:val="16"/>
                <w:szCs w:val="16"/>
              </w:rPr>
              <w:t xml:space="preserve">ETAP III - 20% planowane zakończenie etapu do </w:t>
            </w:r>
            <w:r w:rsidR="00900963" w:rsidRPr="00CA0D65">
              <w:rPr>
                <w:rFonts w:ascii="Verdana" w:hAnsi="Verdana"/>
                <w:sz w:val="16"/>
                <w:szCs w:val="16"/>
              </w:rPr>
              <w:t>30.</w:t>
            </w:r>
            <w:r w:rsidR="00503813">
              <w:rPr>
                <w:rFonts w:ascii="Verdana" w:hAnsi="Verdana"/>
                <w:sz w:val="16"/>
                <w:szCs w:val="16"/>
              </w:rPr>
              <w:t>06</w:t>
            </w:r>
            <w:r w:rsidRPr="00CA0D65">
              <w:rPr>
                <w:rFonts w:ascii="Verdana" w:hAnsi="Verdana"/>
                <w:sz w:val="16"/>
                <w:szCs w:val="16"/>
              </w:rPr>
              <w:t>.202</w:t>
            </w:r>
            <w:r w:rsidR="00D51027" w:rsidRPr="00CA0D65">
              <w:rPr>
                <w:rFonts w:ascii="Verdana" w:hAnsi="Verdana"/>
                <w:sz w:val="16"/>
                <w:szCs w:val="16"/>
              </w:rPr>
              <w:t>5</w:t>
            </w:r>
            <w:r w:rsidRPr="00CA0D65">
              <w:rPr>
                <w:rFonts w:ascii="Verdana" w:hAnsi="Verdana"/>
                <w:sz w:val="16"/>
                <w:szCs w:val="16"/>
              </w:rPr>
              <w:t>r.</w:t>
            </w:r>
          </w:p>
          <w:p w:rsidR="00A521DA" w:rsidRPr="00CA0D65" w:rsidRDefault="00A521DA" w:rsidP="00334BF7">
            <w:pPr>
              <w:pStyle w:val="Akapitzlist"/>
              <w:spacing w:before="120" w:after="120" w:line="240" w:lineRule="auto"/>
              <w:ind w:left="357"/>
              <w:jc w:val="both"/>
              <w:rPr>
                <w:rFonts w:ascii="Verdana" w:hAnsi="Verdana"/>
                <w:sz w:val="16"/>
                <w:szCs w:val="16"/>
              </w:rPr>
            </w:pPr>
            <w:r w:rsidRPr="00CA0D65">
              <w:rPr>
                <w:rFonts w:ascii="Verdana" w:hAnsi="Verdana"/>
                <w:sz w:val="16"/>
                <w:szCs w:val="16"/>
              </w:rPr>
              <w:t>wykonanie stropu nad parterem, budowa ścian zewnętrznych p</w:t>
            </w:r>
            <w:r w:rsidR="00CF4C05" w:rsidRPr="00CA0D65">
              <w:rPr>
                <w:rFonts w:ascii="Verdana" w:hAnsi="Verdana"/>
                <w:sz w:val="16"/>
                <w:szCs w:val="16"/>
              </w:rPr>
              <w:t>iętra</w:t>
            </w:r>
            <w:r w:rsidRPr="00CA0D65">
              <w:rPr>
                <w:rFonts w:ascii="Verdana" w:hAnsi="Verdana"/>
                <w:sz w:val="16"/>
                <w:szCs w:val="16"/>
              </w:rPr>
              <w:t>, konstrukcja dachu (więźba dachowa).</w:t>
            </w:r>
          </w:p>
          <w:p w:rsidR="00A521DA" w:rsidRPr="00CA0D65" w:rsidRDefault="00A521DA" w:rsidP="00334BF7">
            <w:pPr>
              <w:pStyle w:val="Akapitzlist"/>
              <w:widowControl/>
              <w:numPr>
                <w:ilvl w:val="0"/>
                <w:numId w:val="7"/>
              </w:numPr>
              <w:autoSpaceDE/>
              <w:autoSpaceDN/>
              <w:adjustRightInd/>
              <w:spacing w:before="120" w:after="120" w:line="240" w:lineRule="auto"/>
              <w:ind w:left="357"/>
              <w:jc w:val="both"/>
              <w:rPr>
                <w:rFonts w:ascii="Verdana" w:hAnsi="Verdana"/>
                <w:sz w:val="16"/>
                <w:szCs w:val="16"/>
              </w:rPr>
            </w:pPr>
            <w:r w:rsidRPr="00CA0D65">
              <w:rPr>
                <w:rFonts w:ascii="Verdana" w:hAnsi="Verdana"/>
                <w:sz w:val="16"/>
                <w:szCs w:val="16"/>
              </w:rPr>
              <w:t xml:space="preserve">ETAP IV - 15% planowane zakończenie etapu do </w:t>
            </w:r>
            <w:r w:rsidR="00900963" w:rsidRPr="00CA0D65">
              <w:rPr>
                <w:rFonts w:ascii="Verdana" w:hAnsi="Verdana"/>
                <w:sz w:val="16"/>
                <w:szCs w:val="16"/>
              </w:rPr>
              <w:t>30</w:t>
            </w:r>
            <w:r w:rsidRPr="00CA0D65">
              <w:rPr>
                <w:rFonts w:ascii="Verdana" w:hAnsi="Verdana"/>
                <w:sz w:val="16"/>
                <w:szCs w:val="16"/>
              </w:rPr>
              <w:t>.</w:t>
            </w:r>
            <w:r w:rsidR="00503813">
              <w:rPr>
                <w:rFonts w:ascii="Verdana" w:hAnsi="Verdana"/>
                <w:sz w:val="16"/>
                <w:szCs w:val="16"/>
              </w:rPr>
              <w:t>09</w:t>
            </w:r>
            <w:r w:rsidRPr="00CA0D65">
              <w:rPr>
                <w:rFonts w:ascii="Verdana" w:hAnsi="Verdana"/>
                <w:sz w:val="16"/>
                <w:szCs w:val="16"/>
              </w:rPr>
              <w:t>.202</w:t>
            </w:r>
            <w:r w:rsidR="00CF4C05" w:rsidRPr="00CA0D65">
              <w:rPr>
                <w:rFonts w:ascii="Verdana" w:hAnsi="Verdana"/>
                <w:sz w:val="16"/>
                <w:szCs w:val="16"/>
              </w:rPr>
              <w:t>5</w:t>
            </w:r>
            <w:r w:rsidRPr="00CA0D65">
              <w:rPr>
                <w:rFonts w:ascii="Verdana" w:hAnsi="Verdana"/>
                <w:sz w:val="16"/>
                <w:szCs w:val="16"/>
              </w:rPr>
              <w:t>r.</w:t>
            </w:r>
          </w:p>
          <w:p w:rsidR="00A521DA" w:rsidRPr="00CA0D65" w:rsidRDefault="00A521DA" w:rsidP="00334BF7">
            <w:pPr>
              <w:pStyle w:val="Akapitzlist"/>
              <w:spacing w:before="120" w:after="120" w:line="240" w:lineRule="auto"/>
              <w:ind w:left="357"/>
              <w:jc w:val="both"/>
              <w:rPr>
                <w:rFonts w:ascii="Verdana" w:hAnsi="Verdana"/>
                <w:sz w:val="16"/>
                <w:szCs w:val="16"/>
              </w:rPr>
            </w:pPr>
            <w:r w:rsidRPr="00CA0D65">
              <w:rPr>
                <w:rFonts w:ascii="Verdana" w:hAnsi="Verdana"/>
                <w:sz w:val="16"/>
                <w:szCs w:val="16"/>
              </w:rPr>
              <w:t>pokrycie dachu dachówką, budowa ścian  wewnętrznych, montaż okien oraz wykonanie instalacji wodnej, kanalizacyjnej i elektrycznej.</w:t>
            </w:r>
          </w:p>
          <w:p w:rsidR="00A521DA" w:rsidRPr="00CA0D65" w:rsidRDefault="00A521DA" w:rsidP="00334BF7">
            <w:pPr>
              <w:pStyle w:val="Akapitzlist"/>
              <w:widowControl/>
              <w:numPr>
                <w:ilvl w:val="0"/>
                <w:numId w:val="7"/>
              </w:numPr>
              <w:autoSpaceDE/>
              <w:autoSpaceDN/>
              <w:adjustRightInd/>
              <w:spacing w:before="120" w:after="120" w:line="240" w:lineRule="auto"/>
              <w:ind w:left="357"/>
              <w:jc w:val="both"/>
              <w:rPr>
                <w:rFonts w:ascii="Verdana" w:hAnsi="Verdana" w:cs="Times New Roman"/>
                <w:sz w:val="16"/>
                <w:szCs w:val="16"/>
              </w:rPr>
            </w:pPr>
            <w:r w:rsidRPr="00CA0D65">
              <w:rPr>
                <w:rFonts w:ascii="Verdana" w:hAnsi="Verdana"/>
                <w:sz w:val="16"/>
                <w:szCs w:val="16"/>
              </w:rPr>
              <w:t>ETAP V - 15% planowane zakończenie etapu do 30.</w:t>
            </w:r>
            <w:r w:rsidR="00503813">
              <w:rPr>
                <w:rFonts w:ascii="Verdana" w:hAnsi="Verdana"/>
                <w:sz w:val="16"/>
                <w:szCs w:val="16"/>
              </w:rPr>
              <w:t>12</w:t>
            </w:r>
            <w:r w:rsidRPr="00CA0D65">
              <w:rPr>
                <w:rFonts w:ascii="Verdana" w:hAnsi="Verdana"/>
                <w:sz w:val="16"/>
                <w:szCs w:val="16"/>
              </w:rPr>
              <w:t>.202</w:t>
            </w:r>
            <w:r w:rsidR="00CF4C05" w:rsidRPr="00CA0D65">
              <w:rPr>
                <w:rFonts w:ascii="Verdana" w:hAnsi="Verdana"/>
                <w:sz w:val="16"/>
                <w:szCs w:val="16"/>
              </w:rPr>
              <w:t>5</w:t>
            </w:r>
            <w:r w:rsidRPr="00CA0D65">
              <w:rPr>
                <w:rFonts w:ascii="Verdana" w:hAnsi="Verdana"/>
                <w:sz w:val="16"/>
                <w:szCs w:val="16"/>
              </w:rPr>
              <w:t>r.</w:t>
            </w:r>
          </w:p>
          <w:p w:rsidR="00EA1C22" w:rsidRPr="00CF4C05" w:rsidRDefault="00A521DA" w:rsidP="00C35B61">
            <w:pPr>
              <w:pStyle w:val="Akapitzlist"/>
              <w:widowControl/>
              <w:autoSpaceDE/>
              <w:autoSpaceDN/>
              <w:adjustRightInd/>
              <w:spacing w:before="120" w:after="120" w:line="240" w:lineRule="auto"/>
              <w:ind w:left="357"/>
              <w:jc w:val="both"/>
              <w:rPr>
                <w:rFonts w:ascii="Verdana" w:hAnsi="Verdana" w:cs="Times New Roman"/>
                <w:sz w:val="16"/>
                <w:szCs w:val="16"/>
              </w:rPr>
            </w:pPr>
            <w:r w:rsidRPr="00CA0D65">
              <w:rPr>
                <w:rFonts w:ascii="Verdana" w:hAnsi="Verdana"/>
                <w:sz w:val="16"/>
                <w:szCs w:val="16"/>
              </w:rPr>
              <w:t xml:space="preserve">wykonanie tynków wewnętrznych, </w:t>
            </w:r>
            <w:r w:rsidR="00C35B61">
              <w:rPr>
                <w:rFonts w:ascii="Verdana" w:hAnsi="Verdana"/>
                <w:sz w:val="16"/>
                <w:szCs w:val="16"/>
              </w:rPr>
              <w:t xml:space="preserve">wykonanie instalacji gazowej, montaż kotła gazowego i </w:t>
            </w:r>
            <w:r w:rsidR="00110C3B">
              <w:rPr>
                <w:rFonts w:ascii="Verdana" w:hAnsi="Verdana"/>
                <w:sz w:val="16"/>
                <w:szCs w:val="16"/>
              </w:rPr>
              <w:t xml:space="preserve">innych niezbędnych </w:t>
            </w:r>
            <w:r w:rsidR="00C35B61">
              <w:rPr>
                <w:rFonts w:ascii="Verdana" w:hAnsi="Verdana"/>
                <w:sz w:val="16"/>
                <w:szCs w:val="16"/>
              </w:rPr>
              <w:t>urządzeń w kotłowni</w:t>
            </w:r>
            <w:r w:rsidR="00110C3B">
              <w:rPr>
                <w:rFonts w:ascii="Verdana" w:hAnsi="Verdana"/>
                <w:sz w:val="16"/>
                <w:szCs w:val="16"/>
              </w:rPr>
              <w:t xml:space="preserve"> budynku</w:t>
            </w:r>
            <w:r w:rsidR="00C35B61">
              <w:rPr>
                <w:rFonts w:ascii="Verdana" w:hAnsi="Verdana"/>
                <w:sz w:val="16"/>
                <w:szCs w:val="16"/>
              </w:rPr>
              <w:t>,</w:t>
            </w:r>
            <w:r w:rsidRPr="00CA0D65">
              <w:rPr>
                <w:rFonts w:ascii="Verdana" w:hAnsi="Verdana"/>
                <w:sz w:val="16"/>
                <w:szCs w:val="16"/>
              </w:rPr>
              <w:t xml:space="preserve"> instalacji centralnego ogrzewa</w:t>
            </w:r>
            <w:r w:rsidR="00900963" w:rsidRPr="00CA0D65">
              <w:rPr>
                <w:rFonts w:ascii="Verdana" w:hAnsi="Verdana"/>
                <w:sz w:val="16"/>
                <w:szCs w:val="16"/>
              </w:rPr>
              <w:t>nia</w:t>
            </w:r>
            <w:r w:rsidRPr="00CA0D65">
              <w:rPr>
                <w:rFonts w:ascii="Verdana" w:hAnsi="Verdana"/>
                <w:sz w:val="16"/>
                <w:szCs w:val="16"/>
              </w:rPr>
              <w:t>, wylanie posadzki, ocieplenie budynku, wykonanie elewacji, montaż drzwi zewnętrznych, zagospodarowanie terenu (wyrównanie gruntu, chodnik od granicy działki do drzwi wejściowych</w:t>
            </w:r>
            <w:r w:rsidR="00900963" w:rsidRPr="00CA0D65">
              <w:rPr>
                <w:rFonts w:ascii="Verdana" w:hAnsi="Verdana"/>
                <w:sz w:val="16"/>
                <w:szCs w:val="16"/>
              </w:rPr>
              <w:t xml:space="preserve"> budynku</w:t>
            </w:r>
            <w:r w:rsidRPr="00CA0D65">
              <w:rPr>
                <w:rFonts w:ascii="Verdana" w:hAnsi="Verdana"/>
                <w:sz w:val="16"/>
                <w:szCs w:val="16"/>
              </w:rPr>
              <w:t>).</w:t>
            </w:r>
          </w:p>
        </w:tc>
      </w:tr>
      <w:tr w:rsidR="00EA1C22" w:rsidRPr="00BC2537" w:rsidTr="001F7FC1">
        <w:trPr>
          <w:trHeight w:val="16"/>
        </w:trPr>
        <w:tc>
          <w:tcPr>
            <w:tcW w:w="2958" w:type="dxa"/>
            <w:shd w:val="clear" w:color="auto" w:fill="F3F3F3"/>
          </w:tcPr>
          <w:p w:rsidR="00EA1C22" w:rsidRPr="00BC2537" w:rsidRDefault="00EA1C22" w:rsidP="00D80E3E">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Dopuszczenie waloryzacji ceny oraz określenie zasad waloryzacji</w:t>
            </w:r>
          </w:p>
        </w:tc>
        <w:tc>
          <w:tcPr>
            <w:tcW w:w="7200" w:type="dxa"/>
            <w:gridSpan w:val="2"/>
            <w:shd w:val="clear" w:color="auto" w:fill="auto"/>
          </w:tcPr>
          <w:p w:rsidR="00EA1C22" w:rsidRPr="00CA0D65" w:rsidRDefault="00CA0D65" w:rsidP="00D80E3E">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BRAK</w:t>
            </w:r>
          </w:p>
        </w:tc>
      </w:tr>
      <w:tr w:rsidR="00EA1C22" w:rsidRPr="00BC2537" w:rsidTr="001F7FC1">
        <w:trPr>
          <w:trHeight w:val="8"/>
        </w:trPr>
        <w:tc>
          <w:tcPr>
            <w:tcW w:w="10158" w:type="dxa"/>
            <w:gridSpan w:val="3"/>
            <w:tcBorders>
              <w:bottom w:val="single" w:sz="4" w:space="0" w:color="auto"/>
            </w:tcBorders>
            <w:shd w:val="clear" w:color="auto" w:fill="E0E0E0"/>
          </w:tcPr>
          <w:p w:rsidR="00EA1C22" w:rsidRPr="00BC2537" w:rsidRDefault="00EA1C22" w:rsidP="00743040">
            <w:pPr>
              <w:pStyle w:val="Default"/>
              <w:rPr>
                <w:rFonts w:ascii="Verdana" w:eastAsia="Times New Roman" w:hAnsi="Verdana"/>
                <w:b/>
                <w:sz w:val="16"/>
                <w:szCs w:val="16"/>
              </w:rPr>
            </w:pPr>
            <w:r w:rsidRPr="00BC2537">
              <w:rPr>
                <w:rFonts w:ascii="Verdana" w:eastAsia="Times New Roman" w:hAnsi="Verdana"/>
                <w:b/>
                <w:sz w:val="16"/>
                <w:szCs w:val="16"/>
              </w:rPr>
              <w:t xml:space="preserve">WARUNKI ODSTĄPIENIA OD UMOWY DEWELOPERSKIEJ LUB UMOWY, O KTÓREJ MOWA W ART. 2 UST. 1 PKT 2, 3 LUB 5 USTAWY Z DNIA </w:t>
            </w:r>
            <w:r w:rsidR="00FD1962">
              <w:rPr>
                <w:rFonts w:ascii="Verdana" w:eastAsia="Times New Roman" w:hAnsi="Verdana"/>
                <w:b/>
                <w:sz w:val="16"/>
                <w:szCs w:val="16"/>
              </w:rPr>
              <w:t>20 MAJA 2021R.</w:t>
            </w:r>
            <w:r w:rsidR="00920895" w:rsidRPr="00BC2537">
              <w:rPr>
                <w:rFonts w:ascii="Verdana" w:eastAsia="Times New Roman" w:hAnsi="Verdana"/>
                <w:b/>
                <w:sz w:val="16"/>
                <w:szCs w:val="16"/>
              </w:rPr>
              <w:t xml:space="preserve"> </w:t>
            </w:r>
            <w:r w:rsidRPr="00BC2537">
              <w:rPr>
                <w:rFonts w:ascii="Verdana" w:eastAsia="Times New Roman" w:hAnsi="Verdana"/>
                <w:b/>
                <w:sz w:val="16"/>
                <w:szCs w:val="16"/>
              </w:rPr>
              <w:t>O OCHRONIE PRAW NABYWCY LOKALU MIESZKALNEGO LUB DOMU JEDNORODZINNEGO ORAZ  DEWELOPERSKIM FUNDUSZU GWARANCYJNYM</w:t>
            </w:r>
            <w:r w:rsidR="00FD1962">
              <w:rPr>
                <w:rFonts w:ascii="Verdana" w:eastAsia="Times New Roman" w:hAnsi="Verdana"/>
                <w:b/>
                <w:sz w:val="16"/>
                <w:szCs w:val="16"/>
              </w:rPr>
              <w:t xml:space="preserve"> </w:t>
            </w:r>
            <w:r w:rsidRPr="00FD1962">
              <w:rPr>
                <w:rFonts w:ascii="Verdana" w:eastAsia="Times New Roman" w:hAnsi="Verdana"/>
                <w:b/>
                <w:sz w:val="16"/>
                <w:szCs w:val="16"/>
              </w:rPr>
              <w:t>(</w:t>
            </w:r>
            <w:r w:rsidR="00FD1962">
              <w:rPr>
                <w:rFonts w:ascii="Verdana" w:hAnsi="Verdana"/>
                <w:b/>
                <w:bCs/>
                <w:sz w:val="16"/>
                <w:szCs w:val="16"/>
              </w:rPr>
              <w:t xml:space="preserve">Dz. </w:t>
            </w:r>
            <w:r w:rsidR="00FD1962" w:rsidRPr="00FD1962">
              <w:rPr>
                <w:rFonts w:ascii="Verdana" w:hAnsi="Verdana"/>
                <w:b/>
                <w:bCs/>
                <w:sz w:val="16"/>
                <w:szCs w:val="16"/>
              </w:rPr>
              <w:t>U. z 2024 r. poz. 695.</w:t>
            </w:r>
            <w:r w:rsidRPr="00FD1962">
              <w:rPr>
                <w:rFonts w:ascii="Verdana" w:eastAsia="Times New Roman" w:hAnsi="Verdana"/>
                <w:b/>
                <w:sz w:val="16"/>
                <w:szCs w:val="16"/>
              </w:rPr>
              <w:t>)</w:t>
            </w:r>
          </w:p>
        </w:tc>
      </w:tr>
      <w:tr w:rsidR="00EA1C22" w:rsidRPr="00BC2537" w:rsidTr="001F7FC1">
        <w:trPr>
          <w:trHeight w:val="63"/>
        </w:trPr>
        <w:tc>
          <w:tcPr>
            <w:tcW w:w="2958" w:type="dxa"/>
            <w:tcBorders>
              <w:bottom w:val="single" w:sz="4" w:space="0" w:color="auto"/>
            </w:tcBorders>
            <w:shd w:val="clear" w:color="auto" w:fill="F3F3F3"/>
          </w:tcPr>
          <w:p w:rsidR="00EA1C22" w:rsidRPr="00BC2537" w:rsidRDefault="00743040" w:rsidP="00D80E3E">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Warunki na jakich</w:t>
            </w:r>
            <w:r w:rsidR="00EA1C22" w:rsidRPr="00BC2537">
              <w:rPr>
                <w:rFonts w:ascii="Verdana" w:eastAsia="Times New Roman" w:hAnsi="Verdana" w:cs="Times New Roman"/>
                <w:sz w:val="16"/>
                <w:szCs w:val="16"/>
              </w:rPr>
              <w:t xml:space="preserve"> można odstąpić od umowy deweloperskiej lub jednej z umów, o których mowa w art. 2 ust. 1 pkt 2, 3 lub</w:t>
            </w:r>
            <w:r w:rsidR="00920895" w:rsidRPr="00BC2537">
              <w:rPr>
                <w:rFonts w:ascii="Verdana" w:eastAsia="Times New Roman" w:hAnsi="Verdana" w:cs="Times New Roman"/>
                <w:sz w:val="16"/>
                <w:szCs w:val="16"/>
              </w:rPr>
              <w:t xml:space="preserve"> </w:t>
            </w:r>
            <w:r w:rsidR="00EA1C22" w:rsidRPr="00BC2537">
              <w:rPr>
                <w:rFonts w:ascii="Verdana" w:eastAsia="Times New Roman" w:hAnsi="Verdana" w:cs="Times New Roman"/>
                <w:sz w:val="16"/>
                <w:szCs w:val="16"/>
              </w:rPr>
              <w:t xml:space="preserve">5 ustawy z dnia </w:t>
            </w:r>
            <w:r w:rsidR="00FD1962" w:rsidRPr="00FD1962">
              <w:rPr>
                <w:rFonts w:ascii="Verdana" w:eastAsia="Times New Roman" w:hAnsi="Verdana" w:cs="Times New Roman"/>
                <w:sz w:val="16"/>
                <w:szCs w:val="16"/>
              </w:rPr>
              <w:t xml:space="preserve">20 maja 2021r. </w:t>
            </w:r>
            <w:r w:rsidR="00EA1C22" w:rsidRPr="00BC2537">
              <w:rPr>
                <w:rFonts w:ascii="Verdana" w:eastAsia="Times New Roman" w:hAnsi="Verdana" w:cs="Times New Roman"/>
                <w:sz w:val="16"/>
                <w:szCs w:val="16"/>
              </w:rPr>
              <w:t>o ochronie praw nabywcy lokalu mieszkalnego</w:t>
            </w:r>
            <w:r>
              <w:rPr>
                <w:rFonts w:ascii="Verdana" w:eastAsia="Times New Roman" w:hAnsi="Verdana" w:cs="Times New Roman"/>
                <w:sz w:val="16"/>
                <w:szCs w:val="16"/>
              </w:rPr>
              <w:t xml:space="preserve"> lub domu jednorodzinnego oraz </w:t>
            </w:r>
            <w:r w:rsidR="00EA1C22" w:rsidRPr="00BC2537">
              <w:rPr>
                <w:rFonts w:ascii="Verdana" w:eastAsia="Times New Roman" w:hAnsi="Verdana" w:cs="Times New Roman"/>
                <w:sz w:val="16"/>
                <w:szCs w:val="16"/>
              </w:rPr>
              <w:t xml:space="preserve"> Deweloperskim Funduszu Gwarancyjnym</w:t>
            </w:r>
          </w:p>
        </w:tc>
        <w:tc>
          <w:tcPr>
            <w:tcW w:w="7200" w:type="dxa"/>
            <w:gridSpan w:val="2"/>
          </w:tcPr>
          <w:p w:rsidR="00FD1962" w:rsidRPr="00FD1962" w:rsidRDefault="00FD1962" w:rsidP="00FD1962">
            <w:pPr>
              <w:pStyle w:val="Default"/>
              <w:rPr>
                <w:rFonts w:ascii="Verdana" w:hAnsi="Verdana"/>
                <w:sz w:val="16"/>
                <w:szCs w:val="16"/>
              </w:rPr>
            </w:pPr>
            <w:r w:rsidRPr="00FD1962">
              <w:rPr>
                <w:rFonts w:ascii="Verdana" w:hAnsi="Verdana"/>
                <w:bCs/>
                <w:sz w:val="16"/>
                <w:szCs w:val="16"/>
              </w:rPr>
              <w:t xml:space="preserve">Art. 43. </w:t>
            </w:r>
            <w:r w:rsidRPr="00FD1962">
              <w:rPr>
                <w:rFonts w:ascii="Verdana" w:hAnsi="Verdana"/>
                <w:sz w:val="16"/>
                <w:szCs w:val="16"/>
              </w:rPr>
              <w:t xml:space="preserve">1. Nabywca ma prawo odstąpić od umowy deweloperskiej albo umowy, o której mowa w art. 2 ust. 1 pkt 2, 3 lub 5: </w:t>
            </w:r>
          </w:p>
          <w:p w:rsidR="00FD1962" w:rsidRPr="00FD1962" w:rsidRDefault="00FD1962" w:rsidP="00FD1962">
            <w:pPr>
              <w:pStyle w:val="Default"/>
              <w:rPr>
                <w:rFonts w:ascii="Verdana" w:hAnsi="Verdana"/>
                <w:sz w:val="16"/>
                <w:szCs w:val="16"/>
              </w:rPr>
            </w:pPr>
            <w:r w:rsidRPr="00FD1962">
              <w:rPr>
                <w:rFonts w:ascii="Verdana" w:hAnsi="Verdana"/>
                <w:sz w:val="16"/>
                <w:szCs w:val="16"/>
              </w:rPr>
              <w:t xml:space="preserve">1) jeżeli umowa deweloperska albo umowa, o której mowa w art. 2 ust. 1 pkt 2, 3 lub 5, nie zawiera odpowiednio elementów, o których mowa w art. 35, albo elementów, o których mowa w art. 36; </w:t>
            </w:r>
          </w:p>
          <w:p w:rsidR="00FD1962" w:rsidRPr="00FD1962" w:rsidRDefault="00FD1962" w:rsidP="00FD1962">
            <w:pPr>
              <w:pStyle w:val="Default"/>
              <w:rPr>
                <w:rFonts w:ascii="Verdana" w:hAnsi="Verdana"/>
                <w:sz w:val="16"/>
                <w:szCs w:val="16"/>
              </w:rPr>
            </w:pPr>
            <w:r w:rsidRPr="00FD1962">
              <w:rPr>
                <w:rFonts w:ascii="Verdana" w:hAnsi="Verdana"/>
                <w:sz w:val="16"/>
                <w:szCs w:val="16"/>
              </w:rPr>
              <w:t xml:space="preserve">2) jeżeli informacje zawarte w umowie deweloperskiej albo umowie, o której mowa w art. 2 ust. 1 pkt 2, 3 lub 5, nie są zgodne z informacjami zawartymi w prospekcie informacyjnym lub jego załącznikach, z wyjątkiem zmian, o których mowa w art. 35 ust. 2; </w:t>
            </w:r>
          </w:p>
          <w:p w:rsidR="00FD1962" w:rsidRPr="00FD1962" w:rsidRDefault="00FD1962" w:rsidP="00FD1962">
            <w:pPr>
              <w:pStyle w:val="Default"/>
              <w:rPr>
                <w:rFonts w:ascii="Verdana" w:hAnsi="Verdana"/>
                <w:sz w:val="16"/>
                <w:szCs w:val="16"/>
              </w:rPr>
            </w:pPr>
            <w:r w:rsidRPr="00FD1962">
              <w:rPr>
                <w:rFonts w:ascii="Verdana" w:hAnsi="Verdana"/>
                <w:sz w:val="16"/>
                <w:szCs w:val="16"/>
              </w:rPr>
              <w:t xml:space="preserve">3) jeżeli deweloper nie doręczył zgodnie z art. 21 lub art. 22 prospektu informacyjnego wraz z załącznikami lub informacji o zmianie danych lub informacji zawartych w prospekcie informacyjnym lub jego załącznikach; </w:t>
            </w:r>
          </w:p>
          <w:p w:rsidR="00FD1962" w:rsidRPr="00FD1962" w:rsidRDefault="00FD1962" w:rsidP="00FD1962">
            <w:pPr>
              <w:pStyle w:val="Default"/>
              <w:rPr>
                <w:rFonts w:ascii="Verdana" w:hAnsi="Verdana"/>
                <w:color w:val="auto"/>
                <w:sz w:val="16"/>
                <w:szCs w:val="16"/>
              </w:rPr>
            </w:pPr>
            <w:r w:rsidRPr="00FD1962">
              <w:rPr>
                <w:rFonts w:ascii="Verdana" w:hAnsi="Verdana"/>
                <w:sz w:val="16"/>
                <w:szCs w:val="16"/>
              </w:rPr>
              <w:t xml:space="preserve">4) jeżeli dane lub informacje zawarte w prospekcie informacyjnym lub jego załącznikach, na podstawie których zawarto umowę deweloperską albo umowę, </w:t>
            </w:r>
          </w:p>
          <w:p w:rsidR="00FD1962" w:rsidRPr="00FD1962" w:rsidRDefault="00FD1962" w:rsidP="00FD1962">
            <w:pPr>
              <w:pStyle w:val="Default"/>
              <w:pageBreakBefore/>
              <w:rPr>
                <w:rFonts w:ascii="Verdana" w:hAnsi="Verdana"/>
                <w:color w:val="auto"/>
                <w:sz w:val="16"/>
                <w:szCs w:val="16"/>
              </w:rPr>
            </w:pPr>
            <w:r w:rsidRPr="00FD1962">
              <w:rPr>
                <w:rFonts w:ascii="Verdana" w:hAnsi="Verdana"/>
                <w:color w:val="auto"/>
                <w:sz w:val="16"/>
                <w:szCs w:val="16"/>
              </w:rPr>
              <w:t xml:space="preserve">o której mowa w art. 2 ust. 1 pkt 2, 3 lub 5, są niezgodne ze stanem faktycznym lub prawnym w dniu zawarcia umowy;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5) jeżeli prospekt informacyjny, na podstawie którego zawarto umowę deweloperską albo umowę, o której mowa w art. 2 ust. 1 pkt 2, 3 lub 5, nie zawiera danych lub informacji określonych we wzorze prospektu informacyjnego;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6) w przypadku nieprzeniesienia na nabywcę praw wynikających z umowy deweloperskiej albo umowy, o której mowa w art. 2 ust. 1 pkt 2, 3 lub 5, w terminie wynikającym z tych umów;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7) w przypadku gdy deweloper nie zawrze umowy mieszkaniowego rachunku powierniczego z innym bankiem lub inną kasą w trybie i terminie, o których mowa w art. 10 ust. 1;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8) w przypadku gdy deweloper nie posiada zgody wierzyciela hipotecznego lub zobowiązania do jej udzielenia, o których mowa w art. 25 ust. 1 pkt 1 lub 2;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9) w przypadku niewykonania przez dewelopera obowiązku, o którym mowa w art. 12 ust. 2, w terminie określonym w tym przepisie;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10) w przypadku nieusunięcia przez dewelopera wady istotnej lokalu mieszkalnego albo </w:t>
            </w:r>
            <w:r w:rsidRPr="00FD1962">
              <w:rPr>
                <w:rFonts w:ascii="Verdana" w:hAnsi="Verdana"/>
                <w:color w:val="auto"/>
                <w:sz w:val="16"/>
                <w:szCs w:val="16"/>
              </w:rPr>
              <w:lastRenderedPageBreak/>
              <w:t xml:space="preserve">domu jednorodzinnego na zasadach określonych w art. 41 ust. 11;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11) w przypadku stwierdzenia przez rzeczoznawcę istnienia wady istotnej, o którym mowa w art. 41 ust. 15;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12) jeżeli syndyk zażądał wykonania umowy na podstawie art. 98 ustawy z dnia 28 lutego 2003 r. – Prawo upadłościowe.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2. W przypadkach, o których mowa w ust. 1 pkt 1–5, nabywca ma prawo odstąpienia od umowy deweloperskiej albo umowy, o której mowa w art. 2 ust. 1 pkt 2, 3 lub 5, w terminie 30 dni od dnia jej zawarcia.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3. W przypadku, o którym mowa w ust. 1 pkt 6, przed skorzystaniem z prawa do odstąpienia od umowy nabywca wyznacza deweloperowi 120-dniowy termin na przeniesienie praw wynikających z umowy deweloperskiej albo umowy, o której mowa w art. 2 ust. 1 pkt 2, 3 lub 5, a w razie bezskutecznego upływu wyznaczonego terminu jest uprawniony do odstąpienia od tej umowy. Nabywca zachowuje roszczenie z tytułu kary umownej za okres opóźnienia. </w:t>
            </w:r>
          </w:p>
          <w:p w:rsidR="00FD1962" w:rsidRPr="00FD1962" w:rsidRDefault="00FD1962" w:rsidP="00FD1962">
            <w:pPr>
              <w:pStyle w:val="Default"/>
              <w:pageBreakBefore/>
              <w:rPr>
                <w:rFonts w:ascii="Verdana" w:hAnsi="Verdana"/>
                <w:color w:val="auto"/>
                <w:sz w:val="16"/>
                <w:szCs w:val="16"/>
              </w:rPr>
            </w:pPr>
            <w:r w:rsidRPr="00FD1962">
              <w:rPr>
                <w:rFonts w:ascii="Verdana" w:hAnsi="Verdana"/>
                <w:color w:val="auto"/>
                <w:sz w:val="16"/>
                <w:szCs w:val="16"/>
              </w:rPr>
              <w:t xml:space="preserve">4. W przypadku, o którym mowa w ust. 1 pkt 7, nabywca ma prawo odstąpienia od umowy deweloperskiej albo umowy, o której mowa w art. 2 ust. 1 pkt 2, 3 lub 5, po dokonaniu przez bank lub kasę zwrotu środków zgodnie z art. 10 ust. 3.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5. W przypadku, o którym mowa w ust. 1 pkt 8, nabywca ma prawo odstąpienia od umowy deweloperskiej albo umowy, o której mowa w art. 2 ust. 1 pkt 2, 3 lub 5, w terminie 60 dni od dnia jej zawarcia.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6. W przypadku, o którym mowa w ust. 1 pkt 9, nabywca ma prawo odstąpienia od umowy deweloperskiej albo umowy, o której mowa w art. 2 ust. 1 pkt 2, 3 lub 5, po upływie 60 dni od dnia podania do publicznej wiadomości informacji, o których mowa w art. 12 ust. 1.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7. Deweloper ma prawo odstąpić od umowy deweloperskiej albo umowy, o której mowa w art. 2 ust. 1 pkt 2, 3 lub 5, w przypadku niespełnienia przez nabywcę świadczenia pieniężnego w terminie lub wysokości określonych w umowie, mimo wezwania nabywcy w formie pisemnej do uiszczenia zaległych kwot w terminie 30 dni od dnia doręczenia wezwania, chyba że niespełnienie przez nabywcę świadczenia pieniężnego jest spowodowane działaniem siły wyższej.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8. Deweloper ma prawo odstąpić od umowy deweloperskiej albo umowy, o której mowa w art. 2 ust. 1 pkt 2, 3 lub 5, w przypadku niestawienia się nabywcy do odbioru lokalu mieszkalnego albo domu jednorodzinnego lub podpisania aktu notarialnego przenoszącego na nabywcę prawa wynikające z umowy deweloperskiej albo umowy, o której mowa w art. 2 ust. 1 pkt 2, 3 lub 5, mimo dwukrotnego doręczenia wezwania w formie pisemnej w odstępie co najmniej 60 dni, chyba że niestawienie się nabywcy jest spowodowane działaniem siły wyższej. </w:t>
            </w:r>
          </w:p>
          <w:p w:rsidR="00FD1962" w:rsidRPr="00FD1962" w:rsidRDefault="00FD1962" w:rsidP="00FD1962">
            <w:pPr>
              <w:pStyle w:val="Default"/>
              <w:rPr>
                <w:rFonts w:ascii="Verdana" w:hAnsi="Verdana"/>
                <w:color w:val="auto"/>
                <w:sz w:val="16"/>
                <w:szCs w:val="16"/>
              </w:rPr>
            </w:pPr>
            <w:r w:rsidRPr="00FD1962">
              <w:rPr>
                <w:rFonts w:ascii="Verdana" w:hAnsi="Verdana"/>
                <w:bCs/>
                <w:color w:val="auto"/>
                <w:sz w:val="16"/>
                <w:szCs w:val="16"/>
              </w:rPr>
              <w:t xml:space="preserve">Art. 44. </w:t>
            </w:r>
            <w:r w:rsidRPr="00FD1962">
              <w:rPr>
                <w:rFonts w:ascii="Verdana" w:hAnsi="Verdana"/>
                <w:color w:val="auto"/>
                <w:sz w:val="16"/>
                <w:szCs w:val="16"/>
              </w:rPr>
              <w:t xml:space="preserve">1. W przypadku skorzystania przez nabywcę z prawa odstąpienia, o którym mowa w art. 43 ust. 1, nie jest dopuszczalne zastrzeżenie, że nabywcy wolno odstąpić od umowy deweloperskiej albo umowy, o której mowa w art. 2 ust. 1 pkt 2, 3 lub 5, za zapłatą oznaczonej sumy.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2. W przypadku skorzystania przez nabywcę z prawa odstąpienia, o którym mowa w art. 43 ust. 1, umowa uważana jest za niezawartą, a nabywca nie ponosi żadnych kosztów związanych z odstąpieniem od umowy.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3. Deweloper ma obowiązek niezwłocznie, jednak nie później niż w terminie 30 dni od dnia otrzymania oświadczenia nabywcy o odstąpieniu od umowy, zwrócić nabywcy środki wypłacone deweloperowi przez bank lub kasę z otwartego </w:t>
            </w:r>
          </w:p>
          <w:p w:rsidR="00FD1962" w:rsidRPr="00FD1962" w:rsidRDefault="00FD1962" w:rsidP="00FD1962">
            <w:pPr>
              <w:pStyle w:val="Default"/>
              <w:pageBreakBefore/>
              <w:rPr>
                <w:rFonts w:ascii="Verdana" w:hAnsi="Verdana"/>
                <w:color w:val="auto"/>
                <w:sz w:val="16"/>
                <w:szCs w:val="16"/>
              </w:rPr>
            </w:pPr>
            <w:r w:rsidRPr="00FD1962">
              <w:rPr>
                <w:rFonts w:ascii="Verdana" w:hAnsi="Verdana"/>
                <w:color w:val="auto"/>
                <w:sz w:val="16"/>
                <w:szCs w:val="16"/>
              </w:rPr>
              <w:t xml:space="preserve">mieszkaniowego rachunku powierniczego w związku z realizacją umowy deweloperskiej albo umowy, o której mowa w art. 2 ust. 1 pkt 2, 3 lub 5.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4. W terminie 30 dni od dnia otrzymania oświadczenia nabywcy o odstąpieniu od umowy deweloper przekazuje do Ubezpieczeniowego Funduszu Gwarancyjnego, o którym mowa w rozdziale 7 ustawy z dnia 22 maja 2003 r. o ubezpieczeniach obowiązkowych, Ubezpieczeniowym Funduszu Gwarancyjnym i Polskim Biurze Ubezpieczycieli Komunikacyjnych (Dz. U. z 2023 r. poz. 2500), zwanego dalej „Ubezpieczeniowym Funduszem Gwarancyjnym”, w celu realizacji przez ten fundusz zwrotu wpłat nabywców w przypadku określonym w art. 48 ust. 1 pkt 6, informację o wysokości środków zwróconych nabywcy w związku z odstąpieniem przez niego od umowy i dacie dokonania zwrotu tych środków. </w:t>
            </w:r>
          </w:p>
          <w:p w:rsidR="00FD1962" w:rsidRPr="00FD1962" w:rsidRDefault="00FD1962" w:rsidP="00FD1962">
            <w:pPr>
              <w:pStyle w:val="Default"/>
              <w:rPr>
                <w:rFonts w:ascii="Verdana" w:hAnsi="Verdana"/>
                <w:color w:val="auto"/>
                <w:sz w:val="16"/>
                <w:szCs w:val="16"/>
              </w:rPr>
            </w:pPr>
            <w:r w:rsidRPr="00FD1962">
              <w:rPr>
                <w:rFonts w:ascii="Verdana" w:hAnsi="Verdana"/>
                <w:bCs/>
                <w:color w:val="auto"/>
                <w:sz w:val="16"/>
                <w:szCs w:val="16"/>
              </w:rPr>
              <w:t xml:space="preserve">Art. 45. </w:t>
            </w:r>
            <w:r w:rsidRPr="00FD1962">
              <w:rPr>
                <w:rFonts w:ascii="Verdana" w:hAnsi="Verdana"/>
                <w:color w:val="auto"/>
                <w:sz w:val="16"/>
                <w:szCs w:val="16"/>
              </w:rPr>
              <w:t xml:space="preserve">1. Oświadczenie woli nabywcy o odstąpieniu od umowy deweloperskiej albo umowy, o której mowa w art. 2 ust. 1 pkt 2, 3 lub 5, jest skuteczne, jeżeli zawiera zgodę na wykreślenie z księgi wieczystej odpowiednich roszczeń, o których mowa w art. 38 ust. 2, i jest złożone w formie pisemnej z podpisami notarialnie poświadczonymi. </w:t>
            </w:r>
          </w:p>
          <w:p w:rsidR="00EA1C22" w:rsidRPr="00BC2537" w:rsidRDefault="00FD1962" w:rsidP="00D80E3E">
            <w:pPr>
              <w:spacing w:beforeLines="60" w:after="120" w:line="240" w:lineRule="auto"/>
              <w:rPr>
                <w:rFonts w:ascii="Verdana" w:eastAsia="Times New Roman" w:hAnsi="Verdana" w:cs="Times New Roman"/>
                <w:sz w:val="16"/>
                <w:szCs w:val="16"/>
              </w:rPr>
            </w:pPr>
            <w:r w:rsidRPr="00FD1962">
              <w:rPr>
                <w:rFonts w:ascii="Verdana" w:hAnsi="Verdana"/>
                <w:sz w:val="16"/>
                <w:szCs w:val="16"/>
              </w:rPr>
              <w:t>2. W przypadku odstąpienia od umowy deweloperskiej albo umowy, o której mowa w art. 2 ust. 1 pkt 2, 3 lub 5, przez dewelopera na podstawie art. 43 ust. 7 lub 8, nabywca jest obowiązany wyrazić zgodę na wykreślenie z księgi wieczystej odpowiednich roszczeń, o których mowa w art. 38 ust. 2.</w:t>
            </w:r>
          </w:p>
        </w:tc>
      </w:tr>
      <w:tr w:rsidR="00EA1C22" w:rsidRPr="00BC2537" w:rsidTr="001F7FC1">
        <w:trPr>
          <w:trHeight w:val="29"/>
        </w:trPr>
        <w:tc>
          <w:tcPr>
            <w:tcW w:w="10158" w:type="dxa"/>
            <w:gridSpan w:val="3"/>
            <w:tcBorders>
              <w:bottom w:val="single" w:sz="4" w:space="0" w:color="auto"/>
            </w:tcBorders>
            <w:shd w:val="clear" w:color="auto" w:fill="D9D9D9"/>
          </w:tcPr>
          <w:p w:rsidR="007E2879" w:rsidRPr="00BC2537" w:rsidRDefault="00EA1C22" w:rsidP="00D80E3E">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lastRenderedPageBreak/>
              <w:t xml:space="preserve">INNE INFORMACJE </w:t>
            </w:r>
          </w:p>
        </w:tc>
      </w:tr>
      <w:tr w:rsidR="00EA1C22" w:rsidRPr="00BC2537" w:rsidTr="001F7FC1">
        <w:trPr>
          <w:trHeight w:val="84"/>
        </w:trPr>
        <w:tc>
          <w:tcPr>
            <w:tcW w:w="10158" w:type="dxa"/>
            <w:gridSpan w:val="3"/>
            <w:tcBorders>
              <w:bottom w:val="nil"/>
            </w:tcBorders>
            <w:shd w:val="clear" w:color="auto" w:fill="F3F3F3"/>
          </w:tcPr>
          <w:p w:rsidR="00EA1C22" w:rsidRPr="006A1BE7" w:rsidRDefault="00FF63DF" w:rsidP="00D80E3E">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I. Informacja</w:t>
            </w:r>
            <w:r w:rsidR="00EA1C22" w:rsidRPr="006A1BE7">
              <w:rPr>
                <w:rFonts w:ascii="Verdana" w:eastAsia="Times New Roman" w:hAnsi="Verdana" w:cs="Times New Roman"/>
                <w:sz w:val="16"/>
                <w:szCs w:val="16"/>
              </w:rPr>
              <w:t>:</w:t>
            </w:r>
          </w:p>
          <w:p w:rsidR="00EA1C22" w:rsidRPr="006A1BE7" w:rsidRDefault="0012739C" w:rsidP="00D80E3E">
            <w:pPr>
              <w:spacing w:beforeLines="60" w:afterLines="60" w:line="240" w:lineRule="auto"/>
              <w:ind w:left="313" w:hanging="313"/>
              <w:rPr>
                <w:rFonts w:ascii="Verdana" w:eastAsia="Times New Roman" w:hAnsi="Verdana" w:cs="Times New Roman"/>
                <w:sz w:val="16"/>
                <w:szCs w:val="16"/>
                <w:lang w:eastAsia="pl-PL"/>
              </w:rPr>
            </w:pPr>
            <w:r w:rsidRPr="006A1BE7">
              <w:rPr>
                <w:rFonts w:ascii="Verdana" w:eastAsia="Times New Roman" w:hAnsi="Verdana" w:cs="Times New Roman"/>
                <w:sz w:val="16"/>
                <w:szCs w:val="16"/>
              </w:rPr>
              <w:t>1)</w:t>
            </w:r>
            <w:r w:rsidR="00EF63EF" w:rsidRPr="006A1BE7">
              <w:rPr>
                <w:rFonts w:ascii="Verdana" w:eastAsia="Times New Roman" w:hAnsi="Verdana" w:cs="Times New Roman"/>
                <w:sz w:val="16"/>
                <w:szCs w:val="16"/>
              </w:rPr>
              <w:tab/>
            </w:r>
            <w:r w:rsidR="00FF63DF" w:rsidRPr="006A1BE7">
              <w:rPr>
                <w:rFonts w:ascii="Verdana" w:eastAsia="Times New Roman" w:hAnsi="Verdana" w:cs="Times New Roman"/>
                <w:sz w:val="16"/>
                <w:szCs w:val="16"/>
              </w:rPr>
              <w:t xml:space="preserve">o </w:t>
            </w:r>
            <w:r w:rsidR="00EA1C22" w:rsidRPr="006A1BE7">
              <w:rPr>
                <w:rFonts w:ascii="Verdana" w:eastAsia="Times New Roman" w:hAnsi="Verdana" w:cs="Times New Roman"/>
                <w:sz w:val="16"/>
                <w:szCs w:val="16"/>
              </w:rPr>
              <w:t xml:space="preserve">zgodzie </w:t>
            </w:r>
            <w:r w:rsidR="00EA1C22" w:rsidRPr="006A1BE7">
              <w:rPr>
                <w:rFonts w:ascii="Verdana" w:eastAsia="Times New Roman" w:hAnsi="Verdana" w:cs="Times New Roman"/>
                <w:sz w:val="16"/>
                <w:szCs w:val="16"/>
                <w:lang w:eastAsia="pl-PL"/>
              </w:rPr>
              <w:t>banku</w:t>
            </w:r>
            <w:r w:rsidR="00370A03" w:rsidRPr="006A1BE7">
              <w:rPr>
                <w:rFonts w:ascii="Verdana" w:eastAsia="Times New Roman" w:hAnsi="Verdana" w:cs="Times New Roman"/>
                <w:sz w:val="16"/>
                <w:szCs w:val="16"/>
                <w:lang w:eastAsia="pl-PL"/>
              </w:rPr>
              <w:t>, kasy</w:t>
            </w:r>
            <w:r w:rsidR="00EA1C22" w:rsidRPr="006A1BE7">
              <w:rPr>
                <w:rFonts w:ascii="Verdana" w:eastAsia="Times New Roman" w:hAnsi="Verdana" w:cs="Times New Roman"/>
                <w:sz w:val="16"/>
                <w:szCs w:val="16"/>
                <w:lang w:eastAsia="pl-PL"/>
              </w:rPr>
              <w:t xml:space="preserve"> lub innego wierzyciela hipotecznego na bezobciążeniowe ustanowienie odrębnej własności lokalu mieszkalnego i przeniesienie jego własności na nabywcę po wpłacie pełnej ceny przez nabywcę lub zobowiązanie do jej udzielenia, jeżeli takie obciążenie istnieje, albo zgodzie banku</w:t>
            </w:r>
            <w:r w:rsidR="00FF63DF" w:rsidRPr="006A1BE7">
              <w:rPr>
                <w:rFonts w:ascii="Verdana" w:eastAsia="Times New Roman" w:hAnsi="Verdana" w:cs="Times New Roman"/>
                <w:sz w:val="16"/>
                <w:szCs w:val="16"/>
                <w:lang w:eastAsia="pl-PL"/>
              </w:rPr>
              <w:t>, kasy</w:t>
            </w:r>
            <w:r w:rsidR="00EA1C22" w:rsidRPr="006A1BE7">
              <w:rPr>
                <w:rFonts w:ascii="Verdana" w:eastAsia="Times New Roman" w:hAnsi="Verdana" w:cs="Times New Roman"/>
                <w:sz w:val="16"/>
                <w:szCs w:val="16"/>
                <w:lang w:eastAsia="pl-PL"/>
              </w:rPr>
              <w:t xml:space="preserve"> lub innego wierzyciela hipotecznego na bezobciążeniowe przeniesienie na nabywcę własności nieruchomości wraz z domem jednorodzinnym lub użytkowania wieczystego nieruchomości gruntowej i własności domu jednorodzinnego stanowiącego odrębną nieruchomość, lub przeniesienie ułamkowej części własności nieruchomości wraz z prawem do wyłącznego korzystania z części nieruchomości służącej zaspokajaniu potrzeb mieszkaniowych po wpłacie pełnej ceny przez nabywcę lub zobowiązanie do jej udzielenia, jeżeli takie obciążenie istnieje; </w:t>
            </w:r>
          </w:p>
          <w:p w:rsidR="00EA1C22" w:rsidRPr="006A1BE7" w:rsidRDefault="00EA1C22" w:rsidP="00D80E3E">
            <w:pPr>
              <w:spacing w:beforeLines="60" w:afterLines="60" w:line="240" w:lineRule="auto"/>
              <w:ind w:left="313" w:hanging="313"/>
              <w:rPr>
                <w:rFonts w:ascii="Verdana" w:eastAsia="Times New Roman" w:hAnsi="Verdana" w:cs="Times New Roman"/>
                <w:sz w:val="16"/>
                <w:szCs w:val="16"/>
              </w:rPr>
            </w:pPr>
            <w:r w:rsidRPr="006A1BE7">
              <w:rPr>
                <w:rFonts w:ascii="Verdana" w:eastAsia="Times New Roman" w:hAnsi="Verdana" w:cs="Times New Roman"/>
                <w:sz w:val="16"/>
                <w:szCs w:val="16"/>
                <w:lang w:eastAsia="pl-PL"/>
              </w:rPr>
              <w:t>2)</w:t>
            </w:r>
            <w:r w:rsidR="00EF63EF" w:rsidRPr="006A1BE7">
              <w:rPr>
                <w:rFonts w:ascii="Verdana" w:eastAsia="Times New Roman" w:hAnsi="Verdana" w:cs="Times New Roman"/>
                <w:sz w:val="16"/>
                <w:szCs w:val="16"/>
                <w:lang w:eastAsia="pl-PL"/>
              </w:rPr>
              <w:tab/>
            </w:r>
            <w:r w:rsidRPr="006A1BE7">
              <w:rPr>
                <w:rFonts w:ascii="Verdana" w:eastAsia="Times New Roman" w:hAnsi="Verdana" w:cs="Times New Roman"/>
                <w:sz w:val="16"/>
                <w:szCs w:val="16"/>
              </w:rPr>
              <w:t xml:space="preserve">w przypadku umów, o których mowa w art. 2 ust. 2 ustawy z dnia </w:t>
            </w:r>
            <w:r w:rsidR="006B7298" w:rsidRPr="006A1BE7">
              <w:rPr>
                <w:rFonts w:ascii="Verdana" w:eastAsia="Times New Roman" w:hAnsi="Verdana" w:cs="Times New Roman"/>
                <w:sz w:val="16"/>
                <w:szCs w:val="16"/>
              </w:rPr>
              <w:t>20.05.2021r.</w:t>
            </w:r>
            <w:r w:rsidRPr="006A1BE7">
              <w:rPr>
                <w:rFonts w:ascii="Verdana" w:eastAsia="Times New Roman" w:hAnsi="Verdana" w:cs="Times New Roman"/>
                <w:sz w:val="16"/>
                <w:szCs w:val="16"/>
              </w:rPr>
              <w:t xml:space="preserve"> o ochronie praw nabywcy lokalu mieszkalnego lub domu jednorodzinnego oraz o Deweloperskim Funduszu Gwarancyjnym,</w:t>
            </w:r>
            <w:r w:rsidR="00920895" w:rsidRPr="006A1BE7">
              <w:rPr>
                <w:rFonts w:ascii="Verdana" w:eastAsia="Times New Roman" w:hAnsi="Verdana" w:cs="Times New Roman"/>
                <w:sz w:val="16"/>
                <w:szCs w:val="16"/>
              </w:rPr>
              <w:t xml:space="preserve"> </w:t>
            </w:r>
            <w:r w:rsidRPr="006A1BE7">
              <w:rPr>
                <w:rFonts w:ascii="Verdana" w:eastAsia="Times New Roman" w:hAnsi="Verdana" w:cs="Times New Roman"/>
                <w:sz w:val="16"/>
                <w:szCs w:val="16"/>
              </w:rPr>
              <w:t xml:space="preserve">o </w:t>
            </w:r>
            <w:r w:rsidRPr="006A1BE7">
              <w:rPr>
                <w:rFonts w:ascii="Verdana" w:eastAsia="Times New Roman" w:hAnsi="Verdana" w:cs="Times New Roman"/>
                <w:sz w:val="16"/>
                <w:szCs w:val="16"/>
                <w:lang w:eastAsia="pl-PL"/>
              </w:rPr>
              <w:t>zgodzie banku</w:t>
            </w:r>
            <w:r w:rsidR="00FF63DF" w:rsidRPr="006A1BE7">
              <w:rPr>
                <w:rFonts w:ascii="Verdana" w:eastAsia="Times New Roman" w:hAnsi="Verdana" w:cs="Times New Roman"/>
                <w:sz w:val="16"/>
                <w:szCs w:val="16"/>
                <w:lang w:eastAsia="pl-PL"/>
              </w:rPr>
              <w:t>, kasy</w:t>
            </w:r>
            <w:r w:rsidRPr="006A1BE7">
              <w:rPr>
                <w:rFonts w:ascii="Verdana" w:eastAsia="Times New Roman" w:hAnsi="Verdana" w:cs="Times New Roman"/>
                <w:sz w:val="16"/>
                <w:szCs w:val="16"/>
                <w:lang w:eastAsia="pl-PL"/>
              </w:rPr>
              <w:t xml:space="preserve"> lub innego wierzyciela </w:t>
            </w:r>
            <w:r w:rsidRPr="006A1BE7">
              <w:rPr>
                <w:rFonts w:ascii="Verdana" w:eastAsia="Times New Roman" w:hAnsi="Verdana" w:cs="Times New Roman"/>
                <w:sz w:val="16"/>
                <w:szCs w:val="16"/>
                <w:lang w:eastAsia="pl-PL"/>
              </w:rPr>
              <w:lastRenderedPageBreak/>
              <w:t>hipotecznego na bezobciążeniowe przeniesienie</w:t>
            </w:r>
            <w:r w:rsidR="00920895" w:rsidRPr="006A1BE7">
              <w:rPr>
                <w:rFonts w:ascii="Verdana" w:eastAsia="Times New Roman" w:hAnsi="Verdana" w:cs="Times New Roman"/>
                <w:sz w:val="16"/>
                <w:szCs w:val="16"/>
                <w:lang w:eastAsia="pl-PL"/>
              </w:rPr>
              <w:t xml:space="preserve"> </w:t>
            </w:r>
            <w:r w:rsidRPr="006A1BE7">
              <w:rPr>
                <w:rFonts w:ascii="Verdana" w:eastAsia="Times New Roman" w:hAnsi="Verdana" w:cs="Times New Roman"/>
                <w:sz w:val="16"/>
                <w:szCs w:val="16"/>
                <w:lang w:eastAsia="pl-PL"/>
              </w:rPr>
              <w:t>własności lokalu użytkowego na nabywcę po wpłacie pełnej ceny przez nabywcę lub zob</w:t>
            </w:r>
            <w:r w:rsidR="00FF63DF" w:rsidRPr="006A1BE7">
              <w:rPr>
                <w:rFonts w:ascii="Verdana" w:eastAsia="Times New Roman" w:hAnsi="Verdana" w:cs="Times New Roman"/>
                <w:sz w:val="16"/>
                <w:szCs w:val="16"/>
                <w:lang w:eastAsia="pl-PL"/>
              </w:rPr>
              <w:t>owiązaniu</w:t>
            </w:r>
            <w:r w:rsidRPr="006A1BE7">
              <w:rPr>
                <w:rFonts w:ascii="Verdana" w:eastAsia="Times New Roman" w:hAnsi="Verdana" w:cs="Times New Roman"/>
                <w:sz w:val="16"/>
                <w:szCs w:val="16"/>
                <w:lang w:eastAsia="pl-PL"/>
              </w:rPr>
              <w:t xml:space="preserve"> do udzielenia takiej zgody, jeżeli takie obciążenie istnieje, albo zgodzie banku</w:t>
            </w:r>
            <w:r w:rsidR="00FF63DF" w:rsidRPr="006A1BE7">
              <w:rPr>
                <w:rFonts w:ascii="Verdana" w:eastAsia="Times New Roman" w:hAnsi="Verdana" w:cs="Times New Roman"/>
                <w:sz w:val="16"/>
                <w:szCs w:val="16"/>
                <w:lang w:eastAsia="pl-PL"/>
              </w:rPr>
              <w:t>, kasy</w:t>
            </w:r>
            <w:r w:rsidRPr="006A1BE7">
              <w:rPr>
                <w:rFonts w:ascii="Verdana" w:eastAsia="Times New Roman" w:hAnsi="Verdana" w:cs="Times New Roman"/>
                <w:sz w:val="16"/>
                <w:szCs w:val="16"/>
                <w:lang w:eastAsia="pl-PL"/>
              </w:rPr>
              <w:t xml:space="preserve"> lub innego wierzyciela hipotecznego na bezobciążeniowe przeniesienie na nabywcę ułamkowej części własności lokalu użytkowego po wpłacie pełnej ceny przez nabywcę lub zobowiązanie do udzielenia takiej zgody, jeżeli takie obciążenie istnieje.</w:t>
            </w:r>
          </w:p>
        </w:tc>
      </w:tr>
      <w:tr w:rsidR="00EA1C22" w:rsidRPr="00BC2537" w:rsidTr="001F7FC1">
        <w:trPr>
          <w:trHeight w:val="222"/>
        </w:trPr>
        <w:tc>
          <w:tcPr>
            <w:tcW w:w="10158" w:type="dxa"/>
            <w:gridSpan w:val="3"/>
            <w:tcBorders>
              <w:top w:val="nil"/>
              <w:bottom w:val="nil"/>
            </w:tcBorders>
            <w:shd w:val="clear" w:color="auto" w:fill="FFFFFF"/>
          </w:tcPr>
          <w:p w:rsidR="00EA1C22" w:rsidRPr="006A1BE7" w:rsidRDefault="00EA1C22" w:rsidP="00D80E3E">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lastRenderedPageBreak/>
              <w:t>II. Informacja o możliwości zapoznania się w lokalu przedsiębiorstwa przez osobę zainteresowaną zawarciem umowy odpowiednio do zakresu umowy z:</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stanem księgi wieczystej prowadzonej dla nieruchomości;</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aktualnym odpisem, wyciągiem, zaświadczeniem lub wydrukiem komputerowym z Centralnej Informacji Krajowego Rejestru Sądowego, jeżeli podmiot podlega wpisowi do Krajowego Rejestru Sądowego, albo aktualnym zaświadczeniem o wpisie do Centralnej Ewidencji i Informacji o Działalności Gospodarczej;</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 xml:space="preserve">pozwoleniem na budowę albo zgłoszeniem budowy, o którym mowa w art. 29 ust. 1 pkt 1 ustawy z dnia 7 lipca 1994 r. – Prawo budowlane, do którego organ </w:t>
            </w:r>
            <w:proofErr w:type="spellStart"/>
            <w:r w:rsidRPr="006A1BE7">
              <w:rPr>
                <w:rFonts w:ascii="Verdana" w:eastAsia="TimesNewRoman" w:hAnsi="Verdana" w:cs="TimesNewRoman"/>
                <w:sz w:val="16"/>
                <w:szCs w:val="16"/>
              </w:rPr>
              <w:t>dministracji</w:t>
            </w:r>
            <w:proofErr w:type="spellEnd"/>
            <w:r w:rsidRPr="006A1BE7">
              <w:rPr>
                <w:rFonts w:ascii="Verdana" w:eastAsia="TimesNewRoman" w:hAnsi="Verdana" w:cs="TimesNewRoman"/>
                <w:sz w:val="16"/>
                <w:szCs w:val="16"/>
              </w:rPr>
              <w:t xml:space="preserve"> architektoniczno-budowlanej nie wniósł sprzeciwu;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sprawozdaniem finansowym dewelopera za ostatnie dwa lata, a w przypadku:</w:t>
            </w:r>
          </w:p>
          <w:p w:rsidR="00744B00" w:rsidRPr="006A1BE7" w:rsidRDefault="00744B00" w:rsidP="00744B00">
            <w:pPr>
              <w:pStyle w:val="Akapitzlist"/>
              <w:widowControl/>
              <w:numPr>
                <w:ilvl w:val="0"/>
                <w:numId w:val="14"/>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prowadzenia działalności przez okres krótszy niż dwa lata – sprawozdaniem finansowym za okres ostatniego roku,</w:t>
            </w:r>
          </w:p>
          <w:p w:rsidR="00744B00" w:rsidRPr="006A1BE7" w:rsidRDefault="00744B00" w:rsidP="00744B00">
            <w:pPr>
              <w:pStyle w:val="Akapitzlist"/>
              <w:widowControl/>
              <w:numPr>
                <w:ilvl w:val="0"/>
                <w:numId w:val="14"/>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realizacji inwestycji przez spółkę celową – sprawozdaniem spółki dominującej oraz spółki celowej;</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projektem budowlanym;</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decyzją o pozwoleniu na użytkowanie budynku lub zawiadomieniem o zakończeniu budowy, do którego organ nadzoru budowlanego nie wniósł sprzeciwu;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zaświadczeniem o samodzielności lokalu;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aktem ustanowienia odrębnej własności lokalu;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dokumentem potwierdzającym:</w:t>
            </w:r>
          </w:p>
          <w:p w:rsidR="00744B00" w:rsidRPr="006A1BE7" w:rsidRDefault="00744B00" w:rsidP="00744B00">
            <w:pPr>
              <w:pStyle w:val="Akapitzlist"/>
              <w:widowControl/>
              <w:numPr>
                <w:ilvl w:val="0"/>
                <w:numId w:val="15"/>
              </w:numPr>
              <w:spacing w:line="240" w:lineRule="auto"/>
              <w:rPr>
                <w:rFonts w:ascii="Verdana" w:eastAsia="TimesNewRoman" w:hAnsi="Verdana" w:cs="Times"/>
                <w:sz w:val="16"/>
                <w:szCs w:val="16"/>
              </w:rPr>
            </w:pPr>
            <w:r w:rsidRPr="006A1BE7">
              <w:rPr>
                <w:rFonts w:ascii="Verdana" w:eastAsia="TimesNewRoman" w:hAnsi="Verdana" w:cs="Times"/>
                <w:sz w:val="16"/>
                <w:szCs w:val="16"/>
              </w:rPr>
              <w:t xml:space="preserve">zgodę banku, kasy lub innego wierzyciela hipotecznego na </w:t>
            </w:r>
            <w:proofErr w:type="spellStart"/>
            <w:r w:rsidRPr="006A1BE7">
              <w:rPr>
                <w:rFonts w:ascii="Verdana" w:eastAsia="TimesNewRoman" w:hAnsi="Verdana" w:cs="Times"/>
                <w:sz w:val="16"/>
                <w:szCs w:val="16"/>
              </w:rPr>
              <w:t>bezobciążeniowe</w:t>
            </w:r>
            <w:proofErr w:type="spellEnd"/>
            <w:r w:rsidRPr="006A1BE7">
              <w:rPr>
                <w:rFonts w:ascii="Verdana" w:eastAsia="TimesNewRoman" w:hAnsi="Verdana" w:cs="Times"/>
                <w:sz w:val="16"/>
                <w:szCs w:val="16"/>
              </w:rPr>
              <w:t xml:space="preserve"> ustanowienie odrębnej własności lokalu mieszkalnego i przeniesienie jego własności na nabywcę po wpłacie pełnej ceny przez nabywcę lub zobowiązanie do jej udzielenia, jeżeli takie obciążenie istnieje, albo zgodę banku, kasy lub innego wierzyciela hipotecznego na </w:t>
            </w:r>
            <w:proofErr w:type="spellStart"/>
            <w:r w:rsidRPr="006A1BE7">
              <w:rPr>
                <w:rFonts w:ascii="Verdana" w:eastAsia="TimesNewRoman" w:hAnsi="Verdana" w:cs="Times"/>
                <w:sz w:val="16"/>
                <w:szCs w:val="16"/>
              </w:rPr>
              <w:t>bezobciążeniowe</w:t>
            </w:r>
            <w:proofErr w:type="spellEnd"/>
            <w:r w:rsidRPr="006A1BE7">
              <w:rPr>
                <w:rFonts w:ascii="Verdana" w:eastAsia="TimesNewRoman" w:hAnsi="Verdana" w:cs="Times"/>
                <w:sz w:val="16"/>
                <w:szCs w:val="16"/>
              </w:rPr>
              <w:t xml:space="preserve"> przeniesienie na nabywcę własności nieruchomości wraz z domem jednorodzinnym lub użytkowania wieczystego nieruchomości gruntowej i własności domu jednorodzinnego stanowiącego odrębną nieruchomość, lub przeniesienie ułamkowej części własności nieruchomości wraz z prawem do wyłącznego korzystania z części nieruchomości</w:t>
            </w:r>
          </w:p>
          <w:p w:rsidR="00744B00" w:rsidRPr="006A1BE7" w:rsidRDefault="00744B00" w:rsidP="00744B00">
            <w:pPr>
              <w:pStyle w:val="Akapitzlist"/>
              <w:spacing w:line="240" w:lineRule="auto"/>
              <w:rPr>
                <w:rFonts w:ascii="Verdana" w:eastAsia="TimesNewRoman" w:hAnsi="Verdana" w:cs="Times"/>
                <w:sz w:val="16"/>
                <w:szCs w:val="16"/>
              </w:rPr>
            </w:pPr>
            <w:r w:rsidRPr="006A1BE7">
              <w:rPr>
                <w:rFonts w:ascii="Verdana" w:eastAsia="TimesNewRoman" w:hAnsi="Verdana" w:cs="Times"/>
                <w:sz w:val="16"/>
                <w:szCs w:val="16"/>
              </w:rPr>
              <w:t>służącej zaspokajaniu potrzeb mieszkaniowych po wpłacie pełnej ceny przez nabywcę lub zobowiązanie do jej udzielenia, jeżeli takie obciążenie istnieje,</w:t>
            </w:r>
          </w:p>
          <w:p w:rsidR="00744B00" w:rsidRPr="006A1BE7" w:rsidRDefault="00744B00" w:rsidP="00744B00">
            <w:pPr>
              <w:pStyle w:val="Akapitzlist"/>
              <w:widowControl/>
              <w:numPr>
                <w:ilvl w:val="0"/>
                <w:numId w:val="15"/>
              </w:numPr>
              <w:spacing w:line="240" w:lineRule="auto"/>
              <w:rPr>
                <w:rFonts w:ascii="Verdana" w:hAnsi="Verdana"/>
                <w:sz w:val="16"/>
                <w:szCs w:val="16"/>
              </w:rPr>
            </w:pPr>
            <w:r w:rsidRPr="006A1BE7">
              <w:rPr>
                <w:rFonts w:ascii="Verdana" w:eastAsia="TimesNewRoman" w:hAnsi="Verdana" w:cs="Times"/>
                <w:sz w:val="16"/>
                <w:szCs w:val="16"/>
              </w:rPr>
              <w:t xml:space="preserve">w przypadku umów, o których mowa w art. 2 ust. 2 ustawy z dnia 20 maja 2021 r. o ochronie praw nabywcy lokalu mieszkalnego lub domu jednorodzinnego oraz Deweloperskim Funduszu Gwarancyjnym – zgodę banku, kasy lub innego wierzyciela hipotecznego na </w:t>
            </w:r>
            <w:proofErr w:type="spellStart"/>
            <w:r w:rsidRPr="006A1BE7">
              <w:rPr>
                <w:rFonts w:ascii="Verdana" w:eastAsia="TimesNewRoman" w:hAnsi="Verdana" w:cs="Times"/>
                <w:sz w:val="16"/>
                <w:szCs w:val="16"/>
              </w:rPr>
              <w:t>bezobciążeniowe</w:t>
            </w:r>
            <w:proofErr w:type="spellEnd"/>
            <w:r w:rsidRPr="006A1BE7">
              <w:rPr>
                <w:rFonts w:ascii="Verdana" w:eastAsia="TimesNewRoman" w:hAnsi="Verdana" w:cs="Times"/>
                <w:sz w:val="16"/>
                <w:szCs w:val="16"/>
              </w:rPr>
              <w:t xml:space="preserve"> przeniesienie własności lokalu użytkowego na nabywcę po wpłacie pełnej ceny przez nabywcę lub zobowiązanie do udzielenia takiej zgody, jeżeli takie obciążenie istnieje, albo zgodę banku, kasy lub innego wierzyciela hipotecznego na </w:t>
            </w:r>
            <w:proofErr w:type="spellStart"/>
            <w:r w:rsidRPr="006A1BE7">
              <w:rPr>
                <w:rFonts w:ascii="Verdana" w:eastAsia="TimesNewRoman" w:hAnsi="Verdana" w:cs="Times"/>
                <w:sz w:val="16"/>
                <w:szCs w:val="16"/>
              </w:rPr>
              <w:t>bezobciążeniowe</w:t>
            </w:r>
            <w:proofErr w:type="spellEnd"/>
            <w:r w:rsidRPr="006A1BE7">
              <w:rPr>
                <w:rFonts w:ascii="Verdana" w:eastAsia="TimesNewRoman" w:hAnsi="Verdana" w:cs="Times"/>
                <w:sz w:val="16"/>
                <w:szCs w:val="16"/>
              </w:rPr>
              <w:t xml:space="preserve"> przeniesienie na nabywcę ułamkowej części własności lokalu użytkowego po wpłacie pełnej ceny przez nabywcę lub zobowiązanie do udzielenia takiej zgody, jeżeli takie obciążenie istnieje.</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p>
          <w:p w:rsidR="0027622C" w:rsidRPr="006A1BE7" w:rsidRDefault="0027622C" w:rsidP="00E943CE">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III. Informacja:</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
                <w:sz w:val="16"/>
                <w:szCs w:val="16"/>
              </w:rPr>
              <w:t xml:space="preserve">Środki pieniężne zgromadzone w </w:t>
            </w:r>
            <w:proofErr w:type="spellStart"/>
            <w:r w:rsidRPr="006A1BE7">
              <w:rPr>
                <w:rFonts w:ascii="Verdana" w:eastAsia="TimesNewRoman" w:hAnsi="Verdana" w:cs="Times"/>
                <w:sz w:val="16"/>
                <w:szCs w:val="16"/>
              </w:rPr>
              <w:t>mBanku</w:t>
            </w:r>
            <w:proofErr w:type="spellEnd"/>
            <w:r w:rsidRPr="006A1BE7">
              <w:rPr>
                <w:rFonts w:ascii="Verdana" w:eastAsia="TimesNewRoman" w:hAnsi="Verdana" w:cs="Times"/>
                <w:sz w:val="16"/>
                <w:szCs w:val="16"/>
              </w:rPr>
              <w:t>, prowadzącym otwarty mieszkaniowy rachunek powierniczy albo zamknięty mieszkaniowy rachunek powierniczy, są objęte ochroną obowiązkowego systemu gwarantowania depozytów na zasadach określonych w ustawie z dnia 10 czerwca 2016 r. o Bankowym Funduszu Gwarancyjnym, systemie gwarantowania depozytów oraz przymusowej restrukturyzacji (Dz. U. z 2022 r. poz. 2253 oraz z 2023 r. poz. 825, 1705, 1784 i 1843).</w:t>
            </w:r>
          </w:p>
          <w:p w:rsidR="0027622C" w:rsidRPr="006A1BE7" w:rsidRDefault="0027622C" w:rsidP="0027622C">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Informacje podstawowe o obowiązkowym systemie gwarantowania depozytów:</w:t>
            </w:r>
          </w:p>
          <w:p w:rsidR="0027622C" w:rsidRPr="006A1BE7" w:rsidRDefault="0027622C" w:rsidP="0027622C">
            <w:pPr>
              <w:autoSpaceDE w:val="0"/>
              <w:autoSpaceDN w:val="0"/>
              <w:adjustRightInd w:val="0"/>
              <w:spacing w:before="120" w:after="12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 xml:space="preserve">ochrona środków dotyczy sytuacji spełnienia warunku gwarancji wobec </w:t>
            </w:r>
            <w:proofErr w:type="spellStart"/>
            <w:r w:rsidRPr="006A1BE7">
              <w:rPr>
                <w:rFonts w:ascii="Verdana" w:eastAsia="TimesNewRoman" w:hAnsi="Verdana" w:cs="Times"/>
                <w:sz w:val="16"/>
                <w:szCs w:val="16"/>
              </w:rPr>
              <w:t>mBanku</w:t>
            </w:r>
            <w:proofErr w:type="spellEnd"/>
            <w:r w:rsidRPr="006A1BE7">
              <w:rPr>
                <w:rFonts w:ascii="Verdana" w:eastAsia="TimesNewRoman" w:hAnsi="Verdana" w:cs="Times"/>
                <w:sz w:val="16"/>
                <w:szCs w:val="16"/>
              </w:rPr>
              <w:t>,</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w przypadku rachunku powierniczego deponentem (uprawnionym do środków gwarantowanych) jest każdy</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z powierzających, w granicach wynikających z jego udziału w kwocie zgromadzonej na tym rachunku, a w granicach pozostałej kwoty na rachunku prawo do środków gwarantowanych ma powiernik,</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limit gwarancyjny przypadający na jednego deponenta to równowartość w złotych 100 000 euro; w przypadkach</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
                <w:sz w:val="16"/>
                <w:szCs w:val="16"/>
              </w:rPr>
              <w:t>określonych w art. 24 ust. 3 i 4 ustawy z dnia 10 czerwca 2016 r. o Bankowym Funduszu Gwarancyjnym, systemie</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 xml:space="preserve">gwarantowania depozytów oraz przymusowej restrukturyzacji, środki deponenta, w terminie 3 miesięcy od dnia ich wpływu na rachunek, objęte są gwarancjami ponad równowartość w złotych 100 000 euro, </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podstawą wyliczenia kwoty środków gwarantowanych należnej deponentowi jest suma wszystkich podlegających</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
                <w:sz w:val="16"/>
                <w:szCs w:val="16"/>
              </w:rPr>
              <w:t>ochronie należności tego deponenta od banku lub kasy, w tym należności z tytułu środków zgromadzonych na jego</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rachunkach osobistych i z tytułu jego udziału w środkach zgromadzonych na rachunku powierniczym,</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wypłata środków gwarantowanych – co do zasady – następuje w terminie 7 dni roboczych od dnia spełnienia</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warunku gwarancji wobec banku lub kasy,</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wypłata środków gwarantowanych jest dokonywana w złotych,</w:t>
            </w:r>
          </w:p>
          <w:p w:rsidR="0027622C" w:rsidRPr="006A1BE7" w:rsidRDefault="0027622C" w:rsidP="0027622C">
            <w:pPr>
              <w:autoSpaceDE w:val="0"/>
              <w:autoSpaceDN w:val="0"/>
              <w:adjustRightInd w:val="0"/>
              <w:spacing w:before="120" w:after="12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proofErr w:type="spellStart"/>
            <w:r w:rsidRPr="006A1BE7">
              <w:rPr>
                <w:rFonts w:ascii="Verdana" w:eastAsia="TimesNewRoman" w:hAnsi="Verdana" w:cs="Times"/>
                <w:sz w:val="16"/>
                <w:szCs w:val="16"/>
              </w:rPr>
              <w:t>mBank</w:t>
            </w:r>
            <w:proofErr w:type="spellEnd"/>
            <w:r w:rsidRPr="006A1BE7">
              <w:rPr>
                <w:rFonts w:ascii="Verdana" w:eastAsia="TimesNewRoman" w:hAnsi="Verdana" w:cs="Times"/>
                <w:sz w:val="16"/>
                <w:szCs w:val="16"/>
              </w:rPr>
              <w:t xml:space="preserve"> korzysta także z następujących znaków towarowych: </w:t>
            </w:r>
            <w:proofErr w:type="spellStart"/>
            <w:r w:rsidRPr="006A1BE7">
              <w:rPr>
                <w:rFonts w:ascii="Verdana" w:eastAsia="TimesNewRoman" w:hAnsi="Verdana" w:cs="Times"/>
                <w:sz w:val="16"/>
                <w:szCs w:val="16"/>
              </w:rPr>
              <w:t>mBank</w:t>
            </w:r>
            <w:proofErr w:type="spellEnd"/>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Dalsze informacje na temat systemu gwarantowania depozytów można uzyskać na stronie internetowej Bankowego</w:t>
            </w:r>
          </w:p>
          <w:p w:rsidR="0027622C" w:rsidRPr="006A1BE7" w:rsidRDefault="0027622C" w:rsidP="0027622C">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Funduszu Gwarancyjnego: https://www.bfg.pl/.</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Informacja zamieszczana w przypadku zawarcia umowy mieszkaniowego rachunku powierniczego z oddziałem</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instytucji kredytowej w rozumieniu art. 4 ust. 1 pkt 18 ustawy z dnia 29 sierpnia 1997 r. – Prawo bankowe (Dz. U.</w:t>
            </w:r>
          </w:p>
          <w:p w:rsidR="0027622C" w:rsidRPr="006A1BE7" w:rsidRDefault="0027622C" w:rsidP="0027622C">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z 202</w:t>
            </w:r>
            <w:r w:rsidRPr="006A1BE7">
              <w:rPr>
                <w:rFonts w:ascii="Verdana" w:eastAsia="TimesNewRoman" w:hAnsi="Verdana" w:cs="Times"/>
                <w:sz w:val="16"/>
                <w:szCs w:val="16"/>
              </w:rPr>
              <w:t xml:space="preserve">3 </w:t>
            </w:r>
            <w:r w:rsidRPr="006A1BE7">
              <w:rPr>
                <w:rFonts w:ascii="Verdana" w:eastAsia="TimesNewRoman" w:hAnsi="Verdana" w:cs="TimesNewRoman"/>
                <w:sz w:val="16"/>
                <w:szCs w:val="16"/>
              </w:rPr>
              <w:t xml:space="preserve">r. poz. </w:t>
            </w:r>
            <w:r w:rsidRPr="006A1BE7">
              <w:rPr>
                <w:rFonts w:ascii="Verdana" w:eastAsia="TimesNewRoman" w:hAnsi="Verdana" w:cs="Times"/>
                <w:sz w:val="16"/>
                <w:szCs w:val="16"/>
              </w:rPr>
              <w:t>2488</w:t>
            </w:r>
            <w:r w:rsidRPr="006A1BE7">
              <w:rPr>
                <w:rFonts w:ascii="Verdana" w:eastAsia="TimesNewRoman" w:hAnsi="Verdana" w:cs="TimesNewRoman"/>
                <w:sz w:val="16"/>
                <w:szCs w:val="16"/>
              </w:rPr>
              <w:t>).</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Oddział instytucji kredytowej w rozumieniu art. 4 ust. 1 pkt 18 ustawy z dnia 29 sierpnia 1997 r. – Prawo bankowe</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jest objęty systemem gwarantowania państwa macierzystego, co oznacza, że nie mają do niego zastosowania przepisy</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ustawy z dnia 10 czerwca 2016 r. o Bankowym Funduszu Gwarancyjnym, systemie gwarantowania depozytów oraz</w:t>
            </w:r>
          </w:p>
          <w:p w:rsidR="00744B00" w:rsidRPr="006A1BE7" w:rsidRDefault="0027622C" w:rsidP="00E943CE">
            <w:pPr>
              <w:autoSpaceDE w:val="0"/>
              <w:autoSpaceDN w:val="0"/>
              <w:adjustRightInd w:val="0"/>
              <w:spacing w:after="0" w:line="240" w:lineRule="auto"/>
              <w:rPr>
                <w:rFonts w:ascii="Verdana" w:eastAsia="Times New Roman" w:hAnsi="Verdana" w:cs="Times New Roman"/>
                <w:sz w:val="16"/>
                <w:szCs w:val="16"/>
              </w:rPr>
            </w:pPr>
            <w:r w:rsidRPr="006A1BE7">
              <w:rPr>
                <w:rFonts w:ascii="Verdana" w:eastAsia="TimesNewRoman" w:hAnsi="Verdana" w:cs="TimesNewRoman"/>
                <w:sz w:val="16"/>
                <w:szCs w:val="16"/>
              </w:rPr>
              <w:t>przymusowej restrukturyzacji.</w:t>
            </w:r>
          </w:p>
        </w:tc>
      </w:tr>
      <w:tr w:rsidR="00EA1C22" w:rsidRPr="00BC2537" w:rsidTr="001F7FC1">
        <w:trPr>
          <w:trHeight w:val="369"/>
        </w:trPr>
        <w:tc>
          <w:tcPr>
            <w:tcW w:w="10158" w:type="dxa"/>
            <w:gridSpan w:val="3"/>
            <w:tcBorders>
              <w:top w:val="nil"/>
            </w:tcBorders>
            <w:shd w:val="clear" w:color="auto" w:fill="FFFFFF"/>
          </w:tcPr>
          <w:p w:rsidR="00EA1C22" w:rsidRPr="006B7298" w:rsidRDefault="00EA1C22" w:rsidP="00D80E3E">
            <w:pPr>
              <w:spacing w:beforeLines="60" w:afterLines="60" w:line="240" w:lineRule="auto"/>
              <w:rPr>
                <w:rFonts w:ascii="Verdana" w:eastAsia="Times New Roman" w:hAnsi="Verdana" w:cs="Times New Roman"/>
                <w:sz w:val="16"/>
                <w:szCs w:val="16"/>
              </w:rPr>
            </w:pPr>
          </w:p>
        </w:tc>
      </w:tr>
    </w:tbl>
    <w:p w:rsidR="007E2879" w:rsidRDefault="007E2879" w:rsidP="00D80E3E">
      <w:pPr>
        <w:spacing w:beforeLines="60" w:afterLines="60" w:line="240" w:lineRule="auto"/>
        <w:rPr>
          <w:rFonts w:ascii="Verdana" w:eastAsia="Times New Roman" w:hAnsi="Verdana" w:cs="Times New Roman"/>
          <w:b/>
          <w:sz w:val="16"/>
          <w:szCs w:val="16"/>
        </w:rPr>
      </w:pPr>
    </w:p>
    <w:p w:rsidR="00EA1C22" w:rsidRPr="00BC2537" w:rsidRDefault="00EA1C22" w:rsidP="00D80E3E">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lastRenderedPageBreak/>
        <w:t>CZĘŚĆ INDYWIDUALNA</w:t>
      </w:r>
    </w:p>
    <w:tbl>
      <w:tblPr>
        <w:tblStyle w:val="Tabela-Siatka111"/>
        <w:tblW w:w="0" w:type="auto"/>
        <w:tblLayout w:type="fixed"/>
        <w:tblLook w:val="04A0"/>
      </w:tblPr>
      <w:tblGrid>
        <w:gridCol w:w="3466"/>
        <w:gridCol w:w="3463"/>
        <w:gridCol w:w="3277"/>
      </w:tblGrid>
      <w:tr w:rsidR="00EA1C22" w:rsidRPr="00BC2537" w:rsidTr="00894ED2">
        <w:tc>
          <w:tcPr>
            <w:tcW w:w="3466" w:type="dxa"/>
            <w:tcBorders>
              <w:bottom w:val="single" w:sz="4" w:space="0" w:color="auto"/>
            </w:tcBorders>
            <w:shd w:val="clear" w:color="auto" w:fill="F2F2F2"/>
          </w:tcPr>
          <w:p w:rsidR="00EA1C22" w:rsidRPr="00BC2537" w:rsidRDefault="00EA1C22" w:rsidP="00D80E3E">
            <w:pPr>
              <w:spacing w:beforeLines="60" w:afterLines="60"/>
              <w:rPr>
                <w:rFonts w:ascii="Verdana" w:hAnsi="Verdana"/>
                <w:sz w:val="16"/>
                <w:szCs w:val="16"/>
              </w:rPr>
            </w:pPr>
            <w:r w:rsidRPr="00BC2537">
              <w:rPr>
                <w:rFonts w:ascii="Verdana" w:hAnsi="Verdana"/>
                <w:sz w:val="16"/>
                <w:szCs w:val="16"/>
              </w:rPr>
              <w:t>Cena lokalu mieszkalnego albo domu jednorodzinnego</w:t>
            </w:r>
          </w:p>
        </w:tc>
        <w:tc>
          <w:tcPr>
            <w:tcW w:w="6740" w:type="dxa"/>
            <w:gridSpan w:val="2"/>
          </w:tcPr>
          <w:p w:rsidR="00EA1C22" w:rsidRPr="00CA0D65" w:rsidRDefault="00CA0D65" w:rsidP="00D80E3E">
            <w:pPr>
              <w:spacing w:beforeLines="60" w:afterLines="60"/>
              <w:rPr>
                <w:rFonts w:ascii="Verdana" w:hAnsi="Verdana"/>
                <w:b/>
                <w:color w:val="FF0000"/>
                <w:sz w:val="16"/>
                <w:szCs w:val="16"/>
              </w:rPr>
            </w:pPr>
            <w:r>
              <w:rPr>
                <w:rFonts w:ascii="Verdana" w:hAnsi="Verdana"/>
                <w:b/>
                <w:color w:val="FF0000"/>
                <w:sz w:val="16"/>
                <w:szCs w:val="16"/>
              </w:rPr>
              <w:t>…</w:t>
            </w:r>
          </w:p>
        </w:tc>
      </w:tr>
      <w:tr w:rsidR="00EA1C22" w:rsidRPr="00BC2537" w:rsidTr="00894ED2">
        <w:tc>
          <w:tcPr>
            <w:tcW w:w="3466" w:type="dxa"/>
            <w:tcBorders>
              <w:bottom w:val="single" w:sz="4" w:space="0" w:color="auto"/>
            </w:tcBorders>
            <w:shd w:val="clear" w:color="auto" w:fill="F2F2F2"/>
          </w:tcPr>
          <w:p w:rsidR="00EA1C22" w:rsidRPr="00BC2537" w:rsidRDefault="00EA1C22" w:rsidP="00D80E3E">
            <w:pPr>
              <w:spacing w:beforeLines="60" w:afterLines="60"/>
              <w:rPr>
                <w:rFonts w:ascii="Verdana" w:hAnsi="Verdana"/>
                <w:sz w:val="16"/>
                <w:szCs w:val="16"/>
              </w:rPr>
            </w:pPr>
            <w:r w:rsidRPr="00BC2537">
              <w:rPr>
                <w:rFonts w:ascii="Verdana" w:hAnsi="Verdana"/>
                <w:sz w:val="16"/>
                <w:szCs w:val="16"/>
              </w:rPr>
              <w:t>Powierzchnia użytkowa lokalu mieszkalnego albo domu jednorodzinnego</w:t>
            </w:r>
          </w:p>
        </w:tc>
        <w:tc>
          <w:tcPr>
            <w:tcW w:w="6740" w:type="dxa"/>
            <w:gridSpan w:val="2"/>
          </w:tcPr>
          <w:p w:rsidR="00EA1C22" w:rsidRPr="00BC2537" w:rsidRDefault="00CA0D65" w:rsidP="00D80E3E">
            <w:pPr>
              <w:spacing w:beforeLines="60" w:afterLines="60"/>
              <w:rPr>
                <w:rFonts w:ascii="Verdana" w:hAnsi="Verdana"/>
                <w:b/>
                <w:sz w:val="16"/>
                <w:szCs w:val="16"/>
              </w:rPr>
            </w:pPr>
            <w:r>
              <w:rPr>
                <w:rFonts w:ascii="Verdana" w:hAnsi="Verdana"/>
                <w:b/>
                <w:color w:val="FF0000"/>
                <w:sz w:val="16"/>
                <w:szCs w:val="16"/>
              </w:rPr>
              <w:t>…</w:t>
            </w:r>
          </w:p>
        </w:tc>
      </w:tr>
      <w:tr w:rsidR="00EA1C22" w:rsidRPr="00BC2537" w:rsidTr="00894ED2">
        <w:tc>
          <w:tcPr>
            <w:tcW w:w="3466" w:type="dxa"/>
            <w:tcBorders>
              <w:bottom w:val="single" w:sz="4" w:space="0" w:color="auto"/>
            </w:tcBorders>
            <w:shd w:val="clear" w:color="auto" w:fill="F2F2F2"/>
          </w:tcPr>
          <w:p w:rsidR="00EA1C22" w:rsidRPr="00BC2537" w:rsidRDefault="00EA1C22" w:rsidP="00D80E3E">
            <w:pPr>
              <w:spacing w:beforeLines="60" w:afterLines="60"/>
              <w:rPr>
                <w:rFonts w:ascii="Verdana" w:hAnsi="Verdana"/>
                <w:sz w:val="16"/>
                <w:szCs w:val="16"/>
              </w:rPr>
            </w:pPr>
            <w:r w:rsidRPr="00BC2537">
              <w:rPr>
                <w:rFonts w:ascii="Verdana" w:hAnsi="Verdana"/>
                <w:sz w:val="16"/>
                <w:szCs w:val="16"/>
              </w:rPr>
              <w:t>Cena m</w:t>
            </w:r>
            <w:r w:rsidRPr="00BC2537">
              <w:rPr>
                <w:rFonts w:ascii="Verdana" w:hAnsi="Verdana"/>
                <w:sz w:val="16"/>
                <w:szCs w:val="16"/>
                <w:vertAlign w:val="superscript"/>
              </w:rPr>
              <w:t>2</w:t>
            </w:r>
            <w:r w:rsidRPr="00BC2537">
              <w:rPr>
                <w:rFonts w:ascii="Verdana" w:hAnsi="Verdana"/>
                <w:sz w:val="16"/>
                <w:szCs w:val="16"/>
              </w:rPr>
              <w:t xml:space="preserve"> powierzchni użytkowej lokalu mieszkalnego albo domu jednorodzinnego</w:t>
            </w:r>
          </w:p>
        </w:tc>
        <w:tc>
          <w:tcPr>
            <w:tcW w:w="6740" w:type="dxa"/>
            <w:gridSpan w:val="2"/>
          </w:tcPr>
          <w:p w:rsidR="00EA1C22" w:rsidRPr="00BC2537" w:rsidRDefault="00CA0D65" w:rsidP="00D80E3E">
            <w:pPr>
              <w:spacing w:beforeLines="60" w:afterLines="60"/>
              <w:rPr>
                <w:rFonts w:ascii="Verdana" w:hAnsi="Verdana"/>
                <w:b/>
                <w:sz w:val="16"/>
                <w:szCs w:val="16"/>
              </w:rPr>
            </w:pPr>
            <w:r>
              <w:rPr>
                <w:rFonts w:ascii="Verdana" w:hAnsi="Verdana"/>
                <w:b/>
                <w:color w:val="FF0000"/>
                <w:sz w:val="16"/>
                <w:szCs w:val="16"/>
              </w:rPr>
              <w:t>…</w:t>
            </w:r>
          </w:p>
        </w:tc>
      </w:tr>
      <w:tr w:rsidR="00EA1C22" w:rsidRPr="00BC2537" w:rsidTr="00894ED2">
        <w:tc>
          <w:tcPr>
            <w:tcW w:w="3466" w:type="dxa"/>
            <w:tcBorders>
              <w:bottom w:val="single" w:sz="4" w:space="0" w:color="auto"/>
            </w:tcBorders>
            <w:shd w:val="clear" w:color="auto" w:fill="F2F2F2"/>
          </w:tcPr>
          <w:p w:rsidR="00EA1C22" w:rsidRPr="00BC2537" w:rsidRDefault="00EA1C22" w:rsidP="00D80E3E">
            <w:pPr>
              <w:spacing w:beforeLines="60" w:afterLines="60"/>
              <w:rPr>
                <w:rFonts w:ascii="Verdana" w:hAnsi="Verdana"/>
                <w:sz w:val="16"/>
                <w:szCs w:val="16"/>
              </w:rPr>
            </w:pPr>
            <w:r w:rsidRPr="00BC2537">
              <w:rPr>
                <w:rFonts w:ascii="Verdana" w:hAnsi="Verdana"/>
                <w:sz w:val="16"/>
                <w:szCs w:val="16"/>
              </w:rPr>
              <w:t xml:space="preserve">Termin, do którego nastąpi przeniesienie prawa własności nieruchomości wynikającego z umowy deweloperskiej lub jednej z umów, o których mowa w art. 2 ust. 1 pkt 2, 3 lub 5 lub ust. 2 ustawy z dnia </w:t>
            </w:r>
            <w:r w:rsidR="00F11C14">
              <w:rPr>
                <w:rFonts w:ascii="Verdana" w:hAnsi="Verdana"/>
                <w:sz w:val="16"/>
                <w:szCs w:val="16"/>
              </w:rPr>
              <w:t>20 maja 2021r.</w:t>
            </w:r>
            <w:r w:rsidRPr="00BC2537">
              <w:rPr>
                <w:rFonts w:ascii="Verdana" w:hAnsi="Verdana"/>
                <w:sz w:val="16"/>
                <w:szCs w:val="16"/>
              </w:rPr>
              <w:t xml:space="preserve"> o ochronie praw nabywcy lokalu mieszkalnego lub domu jednorodzinnego oraz  Deweloperskim Funduszu Gwarancyjnym </w:t>
            </w:r>
          </w:p>
        </w:tc>
        <w:tc>
          <w:tcPr>
            <w:tcW w:w="6740" w:type="dxa"/>
            <w:gridSpan w:val="2"/>
          </w:tcPr>
          <w:p w:rsidR="00EA1C22" w:rsidRPr="00224988" w:rsidRDefault="00F11C14" w:rsidP="00D80E3E">
            <w:pPr>
              <w:spacing w:beforeLines="60" w:afterLines="60"/>
              <w:rPr>
                <w:rFonts w:ascii="Verdana" w:hAnsi="Verdana"/>
                <w:sz w:val="16"/>
                <w:szCs w:val="16"/>
              </w:rPr>
            </w:pPr>
            <w:r w:rsidRPr="00224988">
              <w:rPr>
                <w:rFonts w:ascii="Verdana" w:hAnsi="Verdana"/>
                <w:sz w:val="16"/>
                <w:szCs w:val="16"/>
              </w:rPr>
              <w:t xml:space="preserve">DO </w:t>
            </w:r>
            <w:r w:rsidR="008063D8" w:rsidRPr="00224988">
              <w:rPr>
                <w:rFonts w:ascii="Verdana" w:hAnsi="Verdana"/>
                <w:sz w:val="16"/>
                <w:szCs w:val="16"/>
              </w:rPr>
              <w:t>12</w:t>
            </w:r>
            <w:r w:rsidRPr="00224988">
              <w:rPr>
                <w:rFonts w:ascii="Verdana" w:hAnsi="Verdana"/>
                <w:sz w:val="16"/>
                <w:szCs w:val="16"/>
              </w:rPr>
              <w:t xml:space="preserve"> MIĘSIECY OD DNIA PLANOWANEGO ZAKOŃCZENIA BUDOWY</w:t>
            </w:r>
          </w:p>
        </w:tc>
      </w:tr>
      <w:tr w:rsidR="000A15B5" w:rsidRPr="00BC2537" w:rsidTr="00894ED2">
        <w:tc>
          <w:tcPr>
            <w:tcW w:w="3466" w:type="dxa"/>
            <w:vMerge w:val="restart"/>
            <w:tcBorders>
              <w:top w:val="nil"/>
            </w:tcBorders>
            <w:shd w:val="clear" w:color="auto" w:fill="F2F2F2"/>
          </w:tcPr>
          <w:p w:rsidR="000A15B5" w:rsidRPr="00BC2537" w:rsidRDefault="000A15B5" w:rsidP="00D80E3E">
            <w:pPr>
              <w:spacing w:beforeLines="60" w:afterLines="60"/>
              <w:rPr>
                <w:rFonts w:ascii="Verdana" w:hAnsi="Verdana"/>
                <w:b/>
                <w:sz w:val="16"/>
                <w:szCs w:val="16"/>
              </w:rPr>
            </w:pPr>
            <w:r w:rsidRPr="00BC2537">
              <w:rPr>
                <w:rFonts w:ascii="Verdana" w:hAnsi="Verdana"/>
                <w:sz w:val="16"/>
                <w:szCs w:val="16"/>
              </w:rPr>
              <w:t xml:space="preserve">Określenie położenia oraz istotnych cech domu jednorodzinnego albo budynku, w którym ma znajdować się lokal mieszkalny będący przedmiotem umowy rezerwacyjnej albo umowy deweloperskiej </w:t>
            </w:r>
            <w:r w:rsidR="005A2647" w:rsidRPr="00BC2537">
              <w:rPr>
                <w:rFonts w:ascii="Verdana" w:hAnsi="Verdana"/>
                <w:sz w:val="16"/>
                <w:szCs w:val="16"/>
              </w:rPr>
              <w:t xml:space="preserve">lub jednej z umów, o których mowa w art. 2 ust. 1 pkt 2, 3 lub 5 lub ust. 2 ustawy z dnia </w:t>
            </w:r>
            <w:r w:rsidR="005A2647">
              <w:rPr>
                <w:rFonts w:ascii="Verdana" w:hAnsi="Verdana"/>
                <w:sz w:val="16"/>
                <w:szCs w:val="16"/>
              </w:rPr>
              <w:t>20 maja 2021r.</w:t>
            </w:r>
            <w:r w:rsidR="005A2647" w:rsidRPr="00BC2537">
              <w:rPr>
                <w:rFonts w:ascii="Verdana" w:hAnsi="Verdana"/>
                <w:sz w:val="16"/>
                <w:szCs w:val="16"/>
              </w:rPr>
              <w:t xml:space="preserve"> o ochronie praw nabywcy lokalu mieszkalnego lub domu jednorodzinnego oraz  Deweloperskim Funduszu Gwarancyjnym</w:t>
            </w:r>
          </w:p>
        </w:tc>
        <w:tc>
          <w:tcPr>
            <w:tcW w:w="3463" w:type="dxa"/>
          </w:tcPr>
          <w:p w:rsidR="000A15B5" w:rsidRPr="00BC2537" w:rsidRDefault="000A15B5" w:rsidP="00D80E3E">
            <w:pPr>
              <w:spacing w:beforeLines="60" w:afterLines="60"/>
              <w:rPr>
                <w:rFonts w:ascii="Verdana" w:hAnsi="Verdana"/>
                <w:sz w:val="16"/>
                <w:szCs w:val="16"/>
              </w:rPr>
            </w:pPr>
            <w:r w:rsidRPr="00BC2537">
              <w:rPr>
                <w:rFonts w:ascii="Verdana" w:hAnsi="Verdana"/>
                <w:sz w:val="16"/>
                <w:szCs w:val="16"/>
              </w:rPr>
              <w:t>Liczba kondygnacji</w:t>
            </w:r>
          </w:p>
        </w:tc>
        <w:tc>
          <w:tcPr>
            <w:tcW w:w="3277" w:type="dxa"/>
          </w:tcPr>
          <w:p w:rsidR="000A15B5" w:rsidRPr="00CA0D65" w:rsidRDefault="000A15B5" w:rsidP="00D80E3E">
            <w:pPr>
              <w:spacing w:beforeLines="60" w:afterLines="60"/>
              <w:rPr>
                <w:rFonts w:ascii="Verdana" w:hAnsi="Verdana"/>
                <w:sz w:val="16"/>
                <w:szCs w:val="16"/>
              </w:rPr>
            </w:pPr>
            <w:r w:rsidRPr="00CA0D65">
              <w:rPr>
                <w:rFonts w:ascii="Verdana" w:hAnsi="Verdana"/>
                <w:sz w:val="16"/>
                <w:szCs w:val="16"/>
              </w:rPr>
              <w:t>2</w:t>
            </w:r>
          </w:p>
        </w:tc>
      </w:tr>
      <w:tr w:rsidR="000A15B5" w:rsidRPr="00BC2537" w:rsidTr="00894ED2">
        <w:tc>
          <w:tcPr>
            <w:tcW w:w="3466" w:type="dxa"/>
            <w:vMerge/>
            <w:shd w:val="clear" w:color="auto" w:fill="F2F2F2"/>
          </w:tcPr>
          <w:p w:rsidR="000A15B5" w:rsidRPr="00BC2537" w:rsidRDefault="000A15B5" w:rsidP="00D80E3E">
            <w:pPr>
              <w:spacing w:beforeLines="60" w:afterLines="60"/>
              <w:rPr>
                <w:rFonts w:ascii="Verdana" w:hAnsi="Verdana"/>
                <w:b/>
                <w:sz w:val="16"/>
                <w:szCs w:val="16"/>
              </w:rPr>
            </w:pPr>
          </w:p>
        </w:tc>
        <w:tc>
          <w:tcPr>
            <w:tcW w:w="3463" w:type="dxa"/>
          </w:tcPr>
          <w:p w:rsidR="000A15B5" w:rsidRPr="00BC2537" w:rsidRDefault="000A15B5" w:rsidP="00D80E3E">
            <w:pPr>
              <w:spacing w:beforeLines="60" w:afterLines="60"/>
              <w:rPr>
                <w:rFonts w:ascii="Verdana" w:hAnsi="Verdana"/>
                <w:sz w:val="16"/>
                <w:szCs w:val="16"/>
              </w:rPr>
            </w:pPr>
            <w:r w:rsidRPr="00BC2537">
              <w:rPr>
                <w:rFonts w:ascii="Verdana" w:hAnsi="Verdana"/>
                <w:sz w:val="16"/>
                <w:szCs w:val="16"/>
              </w:rPr>
              <w:t>Technologia wykonania</w:t>
            </w:r>
          </w:p>
        </w:tc>
        <w:tc>
          <w:tcPr>
            <w:tcW w:w="3277" w:type="dxa"/>
          </w:tcPr>
          <w:p w:rsidR="000A15B5" w:rsidRPr="00CA0D65" w:rsidRDefault="000A15B5" w:rsidP="00D80E3E">
            <w:pPr>
              <w:spacing w:beforeLines="60" w:afterLines="60"/>
              <w:rPr>
                <w:rFonts w:ascii="Verdana" w:hAnsi="Verdana"/>
                <w:sz w:val="16"/>
                <w:szCs w:val="16"/>
              </w:rPr>
            </w:pPr>
            <w:r w:rsidRPr="00CA0D65">
              <w:rPr>
                <w:rFonts w:ascii="Verdana" w:hAnsi="Verdana"/>
                <w:sz w:val="16"/>
                <w:szCs w:val="16"/>
              </w:rPr>
              <w:t>MUROWANA</w:t>
            </w:r>
          </w:p>
        </w:tc>
      </w:tr>
      <w:tr w:rsidR="000A15B5" w:rsidRPr="00BC2537" w:rsidTr="00894ED2">
        <w:tc>
          <w:tcPr>
            <w:tcW w:w="3466" w:type="dxa"/>
            <w:vMerge/>
            <w:shd w:val="clear" w:color="auto" w:fill="F2F2F2"/>
          </w:tcPr>
          <w:p w:rsidR="000A15B5" w:rsidRPr="00BC2537" w:rsidRDefault="000A15B5" w:rsidP="00D80E3E">
            <w:pPr>
              <w:spacing w:beforeLines="60" w:afterLines="60"/>
              <w:rPr>
                <w:rFonts w:ascii="Verdana" w:hAnsi="Verdana"/>
                <w:b/>
                <w:sz w:val="16"/>
                <w:szCs w:val="16"/>
              </w:rPr>
            </w:pPr>
          </w:p>
        </w:tc>
        <w:tc>
          <w:tcPr>
            <w:tcW w:w="3463" w:type="dxa"/>
          </w:tcPr>
          <w:p w:rsidR="000A15B5" w:rsidRPr="00BC2537" w:rsidRDefault="000A15B5" w:rsidP="00C35B61">
            <w:pPr>
              <w:autoSpaceDE w:val="0"/>
              <w:autoSpaceDN w:val="0"/>
              <w:adjustRightInd w:val="0"/>
              <w:spacing w:before="120"/>
              <w:rPr>
                <w:rFonts w:ascii="Verdana" w:hAnsi="Verdana"/>
                <w:sz w:val="16"/>
                <w:szCs w:val="16"/>
              </w:rPr>
            </w:pPr>
            <w:r w:rsidRPr="005C6C0B">
              <w:rPr>
                <w:rFonts w:ascii="Verdana" w:hAnsi="Verdana" w:cs="TimesNewRomanPS-BoldMT"/>
                <w:bCs/>
                <w:sz w:val="16"/>
                <w:szCs w:val="16"/>
              </w:rPr>
              <w:t>Standard prac wykończeniowych w części</w:t>
            </w:r>
            <w:r>
              <w:rPr>
                <w:rFonts w:ascii="Verdana" w:hAnsi="Verdana" w:cs="TimesNewRomanPS-BoldMT"/>
                <w:bCs/>
                <w:sz w:val="16"/>
                <w:szCs w:val="16"/>
              </w:rPr>
              <w:t xml:space="preserve"> </w:t>
            </w:r>
            <w:r w:rsidRPr="005C6C0B">
              <w:rPr>
                <w:rFonts w:ascii="Verdana" w:hAnsi="Verdana" w:cs="TimesNewRomanPS-BoldMT"/>
                <w:bCs/>
                <w:sz w:val="16"/>
                <w:szCs w:val="16"/>
              </w:rPr>
              <w:t>wspólnej budynku i terenie wokół niego,</w:t>
            </w:r>
            <w:r>
              <w:rPr>
                <w:rFonts w:ascii="Verdana" w:hAnsi="Verdana" w:cs="TimesNewRomanPS-BoldMT"/>
                <w:bCs/>
                <w:sz w:val="16"/>
                <w:szCs w:val="16"/>
              </w:rPr>
              <w:t xml:space="preserve"> </w:t>
            </w:r>
            <w:r w:rsidRPr="005C6C0B">
              <w:rPr>
                <w:rFonts w:ascii="Verdana" w:hAnsi="Verdana" w:cs="TimesNewRomanPS-BoldMT"/>
                <w:bCs/>
                <w:sz w:val="16"/>
                <w:szCs w:val="16"/>
              </w:rPr>
              <w:t>stanowiącym część wspólną nieruchomości</w:t>
            </w:r>
          </w:p>
        </w:tc>
        <w:tc>
          <w:tcPr>
            <w:tcW w:w="3277" w:type="dxa"/>
          </w:tcPr>
          <w:p w:rsidR="000A15B5" w:rsidRPr="00CA0D65" w:rsidRDefault="000A15B5" w:rsidP="00C35B61">
            <w:pPr>
              <w:spacing w:before="120"/>
              <w:rPr>
                <w:rFonts w:ascii="Verdana" w:hAnsi="Verdana"/>
                <w:sz w:val="16"/>
                <w:szCs w:val="16"/>
              </w:rPr>
            </w:pPr>
            <w:r w:rsidRPr="00CA0D65">
              <w:rPr>
                <w:rFonts w:ascii="Verdana" w:hAnsi="Verdana"/>
                <w:sz w:val="16"/>
                <w:szCs w:val="16"/>
              </w:rPr>
              <w:t xml:space="preserve">BUDYNEK: </w:t>
            </w:r>
          </w:p>
          <w:p w:rsidR="000A15B5" w:rsidRPr="00CA0D65" w:rsidRDefault="000A15B5" w:rsidP="000A15B5">
            <w:pPr>
              <w:rPr>
                <w:rFonts w:ascii="Verdana" w:hAnsi="Verdana"/>
                <w:sz w:val="16"/>
                <w:szCs w:val="16"/>
              </w:rPr>
            </w:pPr>
            <w:r w:rsidRPr="00CA0D65">
              <w:rPr>
                <w:rFonts w:ascii="Verdana" w:hAnsi="Verdana"/>
                <w:sz w:val="16"/>
                <w:szCs w:val="16"/>
              </w:rPr>
              <w:t xml:space="preserve">ŚCIANY - TYNKI MALOWANE; PODŁOGI, SCHODY - GRES LUB INNA OKŁADZINA PODŁOGOWA; OŚWIETLENIE KORYTARZY I SCHODÓW, DRZWI WEJŚCIOWE   </w:t>
            </w:r>
          </w:p>
          <w:p w:rsidR="000A15B5" w:rsidRPr="00CA0D65" w:rsidRDefault="000A15B5" w:rsidP="00D80E3E">
            <w:pPr>
              <w:spacing w:beforeLines="60"/>
              <w:rPr>
                <w:rFonts w:ascii="Verdana" w:hAnsi="Verdana"/>
                <w:sz w:val="16"/>
                <w:szCs w:val="16"/>
              </w:rPr>
            </w:pPr>
            <w:r w:rsidRPr="00CA0D65">
              <w:rPr>
                <w:rFonts w:ascii="Verdana" w:hAnsi="Verdana"/>
                <w:sz w:val="16"/>
                <w:szCs w:val="16"/>
              </w:rPr>
              <w:t xml:space="preserve">TEREN: </w:t>
            </w:r>
          </w:p>
          <w:p w:rsidR="000A15B5" w:rsidRPr="00CA0D65" w:rsidRDefault="000A15B5" w:rsidP="00C35B61">
            <w:pPr>
              <w:spacing w:after="120"/>
              <w:rPr>
                <w:rFonts w:ascii="Verdana" w:hAnsi="Verdana"/>
                <w:sz w:val="16"/>
                <w:szCs w:val="16"/>
              </w:rPr>
            </w:pPr>
            <w:r w:rsidRPr="00CA0D65">
              <w:rPr>
                <w:rFonts w:ascii="Verdana" w:hAnsi="Verdana"/>
                <w:sz w:val="16"/>
                <w:szCs w:val="16"/>
              </w:rPr>
              <w:t>PARKINGI - UTWARDZONE KOSTKA BETONOWA I/LUB KRATOWNICE AŻUROWE;  CHODNIKI - KOSTKA BETONOWA; CZĘŚCI NIEUTWARDZONE - WYRÓWNANE</w:t>
            </w:r>
          </w:p>
        </w:tc>
      </w:tr>
      <w:tr w:rsidR="000A15B5" w:rsidRPr="00BC2537" w:rsidTr="00894ED2">
        <w:tc>
          <w:tcPr>
            <w:tcW w:w="3466" w:type="dxa"/>
            <w:vMerge/>
            <w:shd w:val="clear" w:color="auto" w:fill="F2F2F2"/>
          </w:tcPr>
          <w:p w:rsidR="000A15B5" w:rsidRPr="00BC2537" w:rsidRDefault="000A15B5" w:rsidP="00D80E3E">
            <w:pPr>
              <w:spacing w:beforeLines="60" w:afterLines="60"/>
              <w:rPr>
                <w:rFonts w:ascii="Verdana" w:hAnsi="Verdana"/>
                <w:b/>
                <w:sz w:val="16"/>
                <w:szCs w:val="16"/>
              </w:rPr>
            </w:pPr>
          </w:p>
        </w:tc>
        <w:tc>
          <w:tcPr>
            <w:tcW w:w="3463" w:type="dxa"/>
          </w:tcPr>
          <w:p w:rsidR="000A15B5" w:rsidRPr="00BC2537" w:rsidRDefault="000A15B5" w:rsidP="00D80E3E">
            <w:pPr>
              <w:spacing w:beforeLines="60" w:afterLines="60"/>
              <w:rPr>
                <w:rFonts w:ascii="Verdana" w:hAnsi="Verdana"/>
                <w:sz w:val="16"/>
                <w:szCs w:val="16"/>
              </w:rPr>
            </w:pPr>
            <w:r w:rsidRPr="00BC2537">
              <w:rPr>
                <w:rFonts w:ascii="Verdana" w:hAnsi="Verdana"/>
                <w:sz w:val="16"/>
                <w:szCs w:val="16"/>
              </w:rPr>
              <w:t>Liczba lokali w budynku</w:t>
            </w:r>
          </w:p>
        </w:tc>
        <w:tc>
          <w:tcPr>
            <w:tcW w:w="3277" w:type="dxa"/>
          </w:tcPr>
          <w:p w:rsidR="000A15B5" w:rsidRPr="00CA0D65" w:rsidRDefault="000A15B5" w:rsidP="00D80E3E">
            <w:pPr>
              <w:spacing w:beforeLines="60" w:afterLines="60"/>
              <w:rPr>
                <w:rFonts w:ascii="Verdana" w:hAnsi="Verdana"/>
                <w:sz w:val="16"/>
                <w:szCs w:val="16"/>
              </w:rPr>
            </w:pPr>
            <w:r w:rsidRPr="00CA0D65">
              <w:rPr>
                <w:rFonts w:ascii="Verdana" w:hAnsi="Verdana"/>
                <w:sz w:val="16"/>
                <w:szCs w:val="16"/>
              </w:rPr>
              <w:t>8</w:t>
            </w:r>
          </w:p>
        </w:tc>
      </w:tr>
      <w:tr w:rsidR="000A15B5" w:rsidRPr="00BC2537" w:rsidTr="00894ED2">
        <w:tc>
          <w:tcPr>
            <w:tcW w:w="3466" w:type="dxa"/>
            <w:vMerge/>
            <w:shd w:val="clear" w:color="auto" w:fill="F2F2F2"/>
          </w:tcPr>
          <w:p w:rsidR="000A15B5" w:rsidRPr="00BC2537" w:rsidRDefault="000A15B5" w:rsidP="00D80E3E">
            <w:pPr>
              <w:spacing w:beforeLines="60" w:afterLines="60"/>
              <w:rPr>
                <w:rFonts w:ascii="Verdana" w:hAnsi="Verdana"/>
                <w:b/>
                <w:sz w:val="16"/>
                <w:szCs w:val="16"/>
              </w:rPr>
            </w:pPr>
          </w:p>
        </w:tc>
        <w:tc>
          <w:tcPr>
            <w:tcW w:w="3463" w:type="dxa"/>
          </w:tcPr>
          <w:p w:rsidR="000A15B5" w:rsidRPr="00BC2537" w:rsidRDefault="000A15B5" w:rsidP="00D80E3E">
            <w:pPr>
              <w:spacing w:beforeLines="60" w:afterLines="60"/>
              <w:rPr>
                <w:rFonts w:ascii="Verdana" w:hAnsi="Verdana"/>
                <w:sz w:val="16"/>
                <w:szCs w:val="16"/>
              </w:rPr>
            </w:pPr>
            <w:r w:rsidRPr="00BC2537">
              <w:rPr>
                <w:rFonts w:ascii="Verdana" w:hAnsi="Verdana"/>
                <w:sz w:val="16"/>
                <w:szCs w:val="16"/>
              </w:rPr>
              <w:t>Liczba miejsc garażowych i postojowych</w:t>
            </w:r>
          </w:p>
        </w:tc>
        <w:tc>
          <w:tcPr>
            <w:tcW w:w="3277" w:type="dxa"/>
          </w:tcPr>
          <w:p w:rsidR="000A15B5" w:rsidRPr="00C37F70" w:rsidRDefault="00CA0D65" w:rsidP="00C37F70">
            <w:pPr>
              <w:spacing w:before="120" w:after="120"/>
              <w:rPr>
                <w:rFonts w:ascii="Verdana" w:hAnsi="Verdana" w:cs="TimesNewRomanPSMT"/>
                <w:sz w:val="16"/>
                <w:szCs w:val="16"/>
              </w:rPr>
            </w:pPr>
            <w:r w:rsidRPr="00C37F70">
              <w:rPr>
                <w:rFonts w:ascii="Verdana" w:hAnsi="Verdana" w:cs="TimesNewRomanPSMT"/>
                <w:sz w:val="16"/>
                <w:szCs w:val="16"/>
              </w:rPr>
              <w:t>1,4 miejsca postojowego na 1 mieszkanie</w:t>
            </w:r>
          </w:p>
        </w:tc>
      </w:tr>
      <w:tr w:rsidR="000A15B5" w:rsidRPr="00BC2537" w:rsidTr="00894ED2">
        <w:tc>
          <w:tcPr>
            <w:tcW w:w="3466" w:type="dxa"/>
            <w:vMerge/>
            <w:shd w:val="clear" w:color="auto" w:fill="F2F2F2"/>
          </w:tcPr>
          <w:p w:rsidR="000A15B5" w:rsidRPr="00BC2537" w:rsidRDefault="000A15B5" w:rsidP="00D80E3E">
            <w:pPr>
              <w:spacing w:beforeLines="60" w:afterLines="60"/>
              <w:rPr>
                <w:rFonts w:ascii="Verdana" w:hAnsi="Verdana"/>
                <w:b/>
                <w:sz w:val="16"/>
                <w:szCs w:val="16"/>
              </w:rPr>
            </w:pPr>
          </w:p>
        </w:tc>
        <w:tc>
          <w:tcPr>
            <w:tcW w:w="3463" w:type="dxa"/>
          </w:tcPr>
          <w:p w:rsidR="000A15B5" w:rsidRPr="00BC2537" w:rsidRDefault="000A15B5" w:rsidP="00D80E3E">
            <w:pPr>
              <w:spacing w:beforeLines="60" w:afterLines="60"/>
              <w:rPr>
                <w:rFonts w:ascii="Verdana" w:hAnsi="Verdana"/>
                <w:sz w:val="16"/>
                <w:szCs w:val="16"/>
              </w:rPr>
            </w:pPr>
            <w:r w:rsidRPr="00BC2537">
              <w:rPr>
                <w:rFonts w:ascii="Verdana" w:hAnsi="Verdana"/>
                <w:sz w:val="16"/>
                <w:szCs w:val="16"/>
              </w:rPr>
              <w:t>Dostępne media w budynku</w:t>
            </w:r>
          </w:p>
        </w:tc>
        <w:tc>
          <w:tcPr>
            <w:tcW w:w="3277" w:type="dxa"/>
          </w:tcPr>
          <w:p w:rsidR="000A15B5" w:rsidRPr="00C37F70" w:rsidRDefault="000A15B5" w:rsidP="00D80E3E">
            <w:pPr>
              <w:spacing w:beforeLines="60" w:afterLines="60"/>
              <w:rPr>
                <w:rFonts w:ascii="Verdana" w:hAnsi="Verdana"/>
                <w:sz w:val="16"/>
                <w:szCs w:val="16"/>
              </w:rPr>
            </w:pPr>
            <w:r w:rsidRPr="00C37F70">
              <w:rPr>
                <w:rFonts w:ascii="Verdana" w:hAnsi="Verdana"/>
                <w:sz w:val="16"/>
                <w:szCs w:val="16"/>
              </w:rPr>
              <w:t xml:space="preserve">WODA, KANALIZACJA, ENERGIA ELEKTRYCZNA, GAZ, SIECI TELETECHNICZNE </w:t>
            </w:r>
          </w:p>
        </w:tc>
      </w:tr>
      <w:tr w:rsidR="000A15B5" w:rsidRPr="00BC2537" w:rsidTr="00894ED2">
        <w:tc>
          <w:tcPr>
            <w:tcW w:w="3466" w:type="dxa"/>
            <w:vMerge/>
            <w:tcBorders>
              <w:bottom w:val="single" w:sz="4" w:space="0" w:color="auto"/>
            </w:tcBorders>
            <w:shd w:val="clear" w:color="auto" w:fill="F2F2F2"/>
          </w:tcPr>
          <w:p w:rsidR="000A15B5" w:rsidRPr="00BC2537" w:rsidRDefault="000A15B5" w:rsidP="00D80E3E">
            <w:pPr>
              <w:spacing w:beforeLines="60" w:afterLines="60"/>
              <w:rPr>
                <w:rFonts w:ascii="Verdana" w:hAnsi="Verdana"/>
                <w:b/>
                <w:sz w:val="16"/>
                <w:szCs w:val="16"/>
              </w:rPr>
            </w:pPr>
          </w:p>
        </w:tc>
        <w:tc>
          <w:tcPr>
            <w:tcW w:w="3463" w:type="dxa"/>
          </w:tcPr>
          <w:p w:rsidR="000A15B5" w:rsidRPr="00BC2537" w:rsidRDefault="000A15B5" w:rsidP="00D80E3E">
            <w:pPr>
              <w:spacing w:beforeLines="60" w:afterLines="60"/>
              <w:rPr>
                <w:rFonts w:ascii="Verdana" w:hAnsi="Verdana"/>
                <w:sz w:val="16"/>
                <w:szCs w:val="16"/>
              </w:rPr>
            </w:pPr>
            <w:r w:rsidRPr="00BC2537">
              <w:rPr>
                <w:rFonts w:ascii="Verdana" w:hAnsi="Verdana"/>
                <w:sz w:val="16"/>
                <w:szCs w:val="16"/>
              </w:rPr>
              <w:t>Dostęp do drogi publicznej</w:t>
            </w:r>
          </w:p>
        </w:tc>
        <w:tc>
          <w:tcPr>
            <w:tcW w:w="3277" w:type="dxa"/>
          </w:tcPr>
          <w:p w:rsidR="000A15B5" w:rsidRPr="00322E51" w:rsidRDefault="000A15B5" w:rsidP="00D80E3E">
            <w:pPr>
              <w:spacing w:beforeLines="60" w:afterLines="60"/>
              <w:rPr>
                <w:rFonts w:ascii="Verdana" w:hAnsi="Verdana"/>
                <w:sz w:val="16"/>
                <w:szCs w:val="16"/>
              </w:rPr>
            </w:pPr>
            <w:r w:rsidRPr="00322E51">
              <w:rPr>
                <w:rFonts w:ascii="Verdana" w:hAnsi="Verdana"/>
                <w:sz w:val="16"/>
                <w:szCs w:val="16"/>
              </w:rPr>
              <w:t>TAK</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D80E3E">
            <w:pPr>
              <w:spacing w:beforeLines="60" w:afterLines="60"/>
              <w:rPr>
                <w:rFonts w:ascii="Verdana" w:hAnsi="Verdana"/>
                <w:sz w:val="16"/>
                <w:szCs w:val="16"/>
              </w:rPr>
            </w:pPr>
            <w:r w:rsidRPr="00BC2537">
              <w:rPr>
                <w:rFonts w:ascii="Verdana" w:hAnsi="Verdana"/>
                <w:sz w:val="16"/>
                <w:szCs w:val="16"/>
              </w:rPr>
              <w:t xml:space="preserve">Określenie usytuowania lokalu mieszkalnego w budynku, jeżeli przedsięwzięcie deweloperskie </w:t>
            </w:r>
            <w:r w:rsidR="005A2647">
              <w:rPr>
                <w:rFonts w:ascii="Verdana" w:hAnsi="Verdana"/>
                <w:sz w:val="16"/>
                <w:szCs w:val="16"/>
              </w:rPr>
              <w:t>lub</w:t>
            </w:r>
            <w:r w:rsidRPr="00BC2537">
              <w:rPr>
                <w:rFonts w:ascii="Verdana" w:hAnsi="Verdana"/>
                <w:sz w:val="16"/>
                <w:szCs w:val="16"/>
              </w:rPr>
              <w:t xml:space="preserve"> zadanie inwestycyjne dotyczy lokali mieszkalnych</w:t>
            </w:r>
          </w:p>
        </w:tc>
        <w:tc>
          <w:tcPr>
            <w:tcW w:w="6740" w:type="dxa"/>
            <w:gridSpan w:val="2"/>
          </w:tcPr>
          <w:p w:rsidR="00EA1C22" w:rsidRPr="000B089F" w:rsidRDefault="000B089F" w:rsidP="00D80E3E">
            <w:pPr>
              <w:spacing w:beforeLines="60" w:afterLines="60"/>
              <w:rPr>
                <w:rFonts w:ascii="Verdana" w:hAnsi="Verdana"/>
                <w:color w:val="FF0000"/>
                <w:sz w:val="16"/>
                <w:szCs w:val="16"/>
              </w:rPr>
            </w:pPr>
            <w:r w:rsidRPr="000B089F">
              <w:rPr>
                <w:rFonts w:ascii="Verdana" w:hAnsi="Verdana"/>
                <w:color w:val="FF0000"/>
                <w:sz w:val="16"/>
                <w:szCs w:val="16"/>
              </w:rPr>
              <w:t>ZAŁĄCZNIK NR 1</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D80E3E">
            <w:pPr>
              <w:spacing w:beforeLines="60" w:afterLines="60"/>
              <w:rPr>
                <w:rFonts w:ascii="Verdana" w:hAnsi="Verdana"/>
                <w:sz w:val="16"/>
                <w:szCs w:val="16"/>
              </w:rPr>
            </w:pPr>
            <w:r w:rsidRPr="00BC2537">
              <w:rPr>
                <w:rFonts w:ascii="Verdana" w:hAnsi="Verdana"/>
                <w:sz w:val="16"/>
                <w:szCs w:val="16"/>
              </w:rPr>
              <w:t>Określenie powierzchni użytkowej</w:t>
            </w:r>
            <w:r w:rsidR="00920895" w:rsidRPr="00BC2537">
              <w:rPr>
                <w:rFonts w:ascii="Verdana" w:hAnsi="Verdana"/>
                <w:sz w:val="16"/>
                <w:szCs w:val="16"/>
              </w:rPr>
              <w:t xml:space="preserve"> </w:t>
            </w:r>
            <w:r w:rsidRPr="00BC2537">
              <w:rPr>
                <w:rFonts w:ascii="Verdana" w:hAnsi="Verdana"/>
                <w:sz w:val="16"/>
                <w:szCs w:val="16"/>
              </w:rPr>
              <w:t>i układu pomieszczeń oraz zakresu i standardu prac wykończeniowych, do których wykonania zobowiązuje się deweloper</w:t>
            </w:r>
          </w:p>
        </w:tc>
        <w:tc>
          <w:tcPr>
            <w:tcW w:w="6740" w:type="dxa"/>
            <w:gridSpan w:val="2"/>
          </w:tcPr>
          <w:p w:rsidR="00EA1C22" w:rsidRDefault="000A15B5" w:rsidP="00D80E3E">
            <w:pPr>
              <w:spacing w:beforeLines="60" w:afterLines="60"/>
              <w:rPr>
                <w:rFonts w:ascii="Verdana" w:hAnsi="Verdana"/>
                <w:sz w:val="16"/>
                <w:szCs w:val="16"/>
              </w:rPr>
            </w:pPr>
            <w:r>
              <w:rPr>
                <w:rFonts w:ascii="Verdana" w:hAnsi="Verdana"/>
                <w:sz w:val="16"/>
                <w:szCs w:val="16"/>
              </w:rPr>
              <w:t>POWIERZCHNIA UŻYTKOWA, UKŁAD POMIESZCZEŃ: ZAŁĄCZNIK NR 1</w:t>
            </w:r>
          </w:p>
          <w:p w:rsidR="000A15B5" w:rsidRPr="00C37F70" w:rsidRDefault="000A15B5" w:rsidP="00D80E3E">
            <w:pPr>
              <w:spacing w:beforeLines="60" w:afterLines="60"/>
              <w:rPr>
                <w:rFonts w:ascii="Verdana" w:hAnsi="Verdana"/>
                <w:sz w:val="16"/>
                <w:szCs w:val="16"/>
              </w:rPr>
            </w:pPr>
            <w:r w:rsidRPr="00C37F70">
              <w:rPr>
                <w:rFonts w:ascii="Verdana" w:hAnsi="Verdana"/>
                <w:sz w:val="16"/>
                <w:szCs w:val="16"/>
              </w:rPr>
              <w:t>STANDARD PRAC WYKOŃCZENIOWYCH : ZAŁĄCZNIK NUMER 4</w:t>
            </w:r>
          </w:p>
        </w:tc>
      </w:tr>
      <w:tr w:rsidR="00EA1C22" w:rsidRPr="00BC2537" w:rsidTr="00894ED2">
        <w:trPr>
          <w:trHeight w:val="567"/>
        </w:trPr>
        <w:tc>
          <w:tcPr>
            <w:tcW w:w="3466" w:type="dxa"/>
            <w:tcBorders>
              <w:top w:val="single" w:sz="4" w:space="0" w:color="auto"/>
              <w:bottom w:val="single" w:sz="4" w:space="0" w:color="auto"/>
            </w:tcBorders>
            <w:shd w:val="clear" w:color="auto" w:fill="F2F2F2"/>
          </w:tcPr>
          <w:p w:rsidR="00EA1C22" w:rsidRPr="00BC2537" w:rsidRDefault="00EA1C22" w:rsidP="00D80E3E">
            <w:pPr>
              <w:widowControl w:val="0"/>
              <w:autoSpaceDE w:val="0"/>
              <w:autoSpaceDN w:val="0"/>
              <w:adjustRightInd w:val="0"/>
              <w:spacing w:beforeLines="60" w:afterLines="60"/>
              <w:rPr>
                <w:rFonts w:ascii="Verdana" w:hAnsi="Verdana"/>
                <w:sz w:val="16"/>
                <w:szCs w:val="16"/>
              </w:rPr>
            </w:pPr>
            <w:r w:rsidRPr="00BC2537">
              <w:rPr>
                <w:rFonts w:ascii="Verdana" w:hAnsi="Verdana"/>
                <w:sz w:val="16"/>
                <w:szCs w:val="16"/>
              </w:rPr>
              <w:t>Data wydania zaświadczenia o samodzielności lokalu mieszkalnego</w:t>
            </w:r>
          </w:p>
        </w:tc>
        <w:tc>
          <w:tcPr>
            <w:tcW w:w="6740" w:type="dxa"/>
            <w:gridSpan w:val="2"/>
          </w:tcPr>
          <w:p w:rsidR="00EA1C22" w:rsidRPr="00C37F70" w:rsidRDefault="00962CDE" w:rsidP="00D80E3E">
            <w:pPr>
              <w:spacing w:beforeLines="60" w:afterLines="60"/>
              <w:rPr>
                <w:rFonts w:ascii="Verdana" w:hAnsi="Verdana"/>
                <w:sz w:val="16"/>
                <w:szCs w:val="16"/>
              </w:rPr>
            </w:pPr>
            <w:r w:rsidRPr="00C37F70">
              <w:rPr>
                <w:rFonts w:ascii="Verdana" w:hAnsi="Verdana"/>
                <w:sz w:val="16"/>
                <w:szCs w:val="16"/>
              </w:rPr>
              <w:t>BRAK</w:t>
            </w:r>
          </w:p>
        </w:tc>
      </w:tr>
      <w:tr w:rsidR="00EA1C22" w:rsidRPr="00BC2537" w:rsidTr="00894ED2">
        <w:trPr>
          <w:trHeight w:val="567"/>
        </w:trPr>
        <w:tc>
          <w:tcPr>
            <w:tcW w:w="3466" w:type="dxa"/>
            <w:tcBorders>
              <w:top w:val="single" w:sz="4" w:space="0" w:color="auto"/>
              <w:bottom w:val="single" w:sz="4" w:space="0" w:color="auto"/>
            </w:tcBorders>
            <w:shd w:val="clear" w:color="auto" w:fill="F2F2F2"/>
          </w:tcPr>
          <w:p w:rsidR="00EA1C22" w:rsidRPr="00BC2537" w:rsidRDefault="00EA1C22" w:rsidP="00D80E3E">
            <w:pPr>
              <w:widowControl w:val="0"/>
              <w:autoSpaceDE w:val="0"/>
              <w:autoSpaceDN w:val="0"/>
              <w:adjustRightInd w:val="0"/>
              <w:spacing w:beforeLines="60" w:afterLines="60"/>
              <w:rPr>
                <w:rFonts w:ascii="Verdana" w:hAnsi="Verdana"/>
                <w:sz w:val="16"/>
                <w:szCs w:val="16"/>
              </w:rPr>
            </w:pPr>
            <w:r w:rsidRPr="00BC2537">
              <w:rPr>
                <w:rFonts w:ascii="Verdana" w:hAnsi="Verdana"/>
                <w:sz w:val="16"/>
                <w:szCs w:val="16"/>
              </w:rPr>
              <w:t>Data ustanowienia odrębnej własności lokalu mieszkalnego</w:t>
            </w:r>
          </w:p>
        </w:tc>
        <w:tc>
          <w:tcPr>
            <w:tcW w:w="6740" w:type="dxa"/>
            <w:gridSpan w:val="2"/>
          </w:tcPr>
          <w:p w:rsidR="00894ED2" w:rsidRPr="00C37F70" w:rsidRDefault="00962CDE" w:rsidP="00D80E3E">
            <w:pPr>
              <w:spacing w:beforeLines="60" w:afterLines="60"/>
              <w:rPr>
                <w:rFonts w:ascii="Verdana" w:hAnsi="Verdana"/>
                <w:sz w:val="16"/>
                <w:szCs w:val="16"/>
              </w:rPr>
            </w:pPr>
            <w:r w:rsidRPr="00C37F70">
              <w:rPr>
                <w:rFonts w:ascii="Verdana" w:hAnsi="Verdana"/>
                <w:sz w:val="16"/>
                <w:szCs w:val="16"/>
              </w:rPr>
              <w:t>BRAK</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D80E3E">
            <w:pPr>
              <w:spacing w:beforeLines="60" w:afterLines="60"/>
              <w:rPr>
                <w:rFonts w:ascii="Verdana" w:hAnsi="Verdana"/>
                <w:sz w:val="16"/>
                <w:szCs w:val="16"/>
              </w:rPr>
            </w:pPr>
            <w:r w:rsidRPr="00BC2537">
              <w:rPr>
                <w:rFonts w:ascii="Verdana" w:hAnsi="Verdana"/>
                <w:sz w:val="16"/>
                <w:szCs w:val="16"/>
              </w:rPr>
              <w:t>Informacje o lokalu użytkowym</w:t>
            </w:r>
            <w:r w:rsidR="00920895" w:rsidRPr="00BC2537">
              <w:rPr>
                <w:rFonts w:ascii="Verdana" w:hAnsi="Verdana"/>
                <w:sz w:val="16"/>
                <w:szCs w:val="16"/>
              </w:rPr>
              <w:t xml:space="preserve"> </w:t>
            </w:r>
            <w:r w:rsidRPr="00BC2537">
              <w:rPr>
                <w:rFonts w:ascii="Verdana" w:hAnsi="Verdana"/>
                <w:sz w:val="16"/>
                <w:szCs w:val="16"/>
              </w:rPr>
              <w:t xml:space="preserve">nabywanym równocześnie z lokalem mieszkalnym albo domem </w:t>
            </w:r>
            <w:r w:rsidRPr="00BC2537">
              <w:rPr>
                <w:rFonts w:ascii="Verdana" w:hAnsi="Verdana"/>
                <w:sz w:val="16"/>
                <w:szCs w:val="16"/>
              </w:rPr>
              <w:lastRenderedPageBreak/>
              <w:t>jednorodzinnym</w:t>
            </w:r>
          </w:p>
        </w:tc>
        <w:tc>
          <w:tcPr>
            <w:tcW w:w="6740" w:type="dxa"/>
            <w:gridSpan w:val="2"/>
          </w:tcPr>
          <w:p w:rsidR="00EA1C22" w:rsidRPr="00C37F70" w:rsidRDefault="00962CDE" w:rsidP="00D80E3E">
            <w:pPr>
              <w:spacing w:beforeLines="60" w:afterLines="60"/>
              <w:rPr>
                <w:rFonts w:ascii="Verdana" w:hAnsi="Verdana"/>
                <w:sz w:val="16"/>
                <w:szCs w:val="16"/>
              </w:rPr>
            </w:pPr>
            <w:r w:rsidRPr="00C37F70">
              <w:rPr>
                <w:rFonts w:ascii="Verdana" w:hAnsi="Verdana"/>
                <w:sz w:val="16"/>
                <w:szCs w:val="16"/>
              </w:rPr>
              <w:lastRenderedPageBreak/>
              <w:t xml:space="preserve">NIE DOTYCZY </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962CDE" w:rsidP="00D80E3E">
            <w:pPr>
              <w:spacing w:beforeLines="60" w:afterLines="60"/>
              <w:rPr>
                <w:rFonts w:ascii="Verdana" w:hAnsi="Verdana"/>
                <w:sz w:val="16"/>
                <w:szCs w:val="16"/>
              </w:rPr>
            </w:pPr>
            <w:r>
              <w:rPr>
                <w:rFonts w:ascii="Verdana" w:hAnsi="Verdana"/>
                <w:sz w:val="16"/>
                <w:szCs w:val="16"/>
              </w:rPr>
              <w:lastRenderedPageBreak/>
              <w:t>Cena</w:t>
            </w:r>
            <w:r w:rsidR="00EA1C22" w:rsidRPr="00BC2537">
              <w:rPr>
                <w:rFonts w:ascii="Verdana" w:hAnsi="Verdana"/>
                <w:sz w:val="16"/>
                <w:szCs w:val="16"/>
              </w:rPr>
              <w:t xml:space="preserve"> lokalu użytkowego albo</w:t>
            </w:r>
            <w:r w:rsidR="00920895" w:rsidRPr="00BC2537">
              <w:rPr>
                <w:rFonts w:ascii="Verdana" w:hAnsi="Verdana"/>
                <w:sz w:val="16"/>
                <w:szCs w:val="16"/>
              </w:rPr>
              <w:t xml:space="preserve"> </w:t>
            </w:r>
            <w:r w:rsidR="00EA1C22" w:rsidRPr="00BC2537">
              <w:rPr>
                <w:rFonts w:ascii="Verdana" w:hAnsi="Verdana"/>
                <w:sz w:val="16"/>
                <w:szCs w:val="16"/>
              </w:rPr>
              <w:t xml:space="preserve">ułamkowej części własności lokalu użytkowego </w:t>
            </w:r>
          </w:p>
        </w:tc>
        <w:tc>
          <w:tcPr>
            <w:tcW w:w="6740" w:type="dxa"/>
            <w:gridSpan w:val="2"/>
          </w:tcPr>
          <w:p w:rsidR="00EA1C22" w:rsidRPr="00C37F70" w:rsidRDefault="00962CDE" w:rsidP="00D80E3E">
            <w:pPr>
              <w:spacing w:beforeLines="60" w:afterLines="60"/>
              <w:rPr>
                <w:rFonts w:ascii="Verdana" w:hAnsi="Verdana"/>
                <w:sz w:val="16"/>
                <w:szCs w:val="16"/>
              </w:rPr>
            </w:pPr>
            <w:r w:rsidRPr="00C37F70">
              <w:rPr>
                <w:rFonts w:ascii="Verdana" w:hAnsi="Verdana"/>
                <w:sz w:val="16"/>
                <w:szCs w:val="16"/>
              </w:rPr>
              <w:t>NIE DOTYCZY</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D80E3E">
            <w:pPr>
              <w:spacing w:beforeLines="60" w:afterLines="60"/>
              <w:rPr>
                <w:rFonts w:ascii="Verdana" w:hAnsi="Verdana"/>
                <w:sz w:val="16"/>
                <w:szCs w:val="16"/>
              </w:rPr>
            </w:pPr>
            <w:r w:rsidRPr="00BC2537">
              <w:rPr>
                <w:rFonts w:ascii="Verdana" w:hAnsi="Verdana"/>
                <w:sz w:val="16"/>
                <w:szCs w:val="16"/>
              </w:rPr>
              <w:t>Termin, do którego nastąpi przeniesienie prawa własności lokalu użytkowego albo ułamkowej części własności lokalu użytkowego</w:t>
            </w:r>
          </w:p>
        </w:tc>
        <w:tc>
          <w:tcPr>
            <w:tcW w:w="6740" w:type="dxa"/>
            <w:gridSpan w:val="2"/>
          </w:tcPr>
          <w:p w:rsidR="00EA1C22" w:rsidRPr="00C37F70" w:rsidRDefault="00962CDE" w:rsidP="00D80E3E">
            <w:pPr>
              <w:spacing w:beforeLines="60" w:afterLines="60"/>
              <w:rPr>
                <w:rFonts w:ascii="Verdana" w:hAnsi="Verdana"/>
                <w:sz w:val="16"/>
                <w:szCs w:val="16"/>
              </w:rPr>
            </w:pPr>
            <w:r w:rsidRPr="00C37F70">
              <w:rPr>
                <w:rFonts w:ascii="Verdana" w:hAnsi="Verdana"/>
                <w:sz w:val="16"/>
                <w:szCs w:val="16"/>
              </w:rPr>
              <w:t>NIE DOTYCZY</w:t>
            </w:r>
          </w:p>
        </w:tc>
      </w:tr>
    </w:tbl>
    <w:p w:rsidR="00334BF7" w:rsidRDefault="00334BF7" w:rsidP="00D80E3E">
      <w:pPr>
        <w:spacing w:beforeLines="60" w:afterLines="60" w:line="240" w:lineRule="auto"/>
        <w:jc w:val="right"/>
        <w:rPr>
          <w:rFonts w:ascii="Verdana" w:eastAsia="Times New Roman" w:hAnsi="Verdana" w:cs="Times New Roman"/>
          <w:b/>
          <w:sz w:val="16"/>
          <w:szCs w:val="16"/>
        </w:rPr>
      </w:pPr>
    </w:p>
    <w:p w:rsidR="00334BF7" w:rsidRDefault="00EA1C22" w:rsidP="00D80E3E">
      <w:pPr>
        <w:spacing w:beforeLines="60" w:afterLines="60" w:line="240" w:lineRule="auto"/>
        <w:jc w:val="right"/>
        <w:rPr>
          <w:rFonts w:ascii="Verdana" w:eastAsia="Times New Roman" w:hAnsi="Verdana" w:cs="Times New Roman"/>
          <w:b/>
          <w:sz w:val="16"/>
          <w:szCs w:val="16"/>
        </w:rPr>
      </w:pPr>
      <w:r w:rsidRPr="00BC2537">
        <w:rPr>
          <w:rFonts w:ascii="Verdana" w:eastAsia="Times New Roman" w:hAnsi="Verdana" w:cs="Times New Roman"/>
          <w:b/>
          <w:sz w:val="16"/>
          <w:szCs w:val="16"/>
        </w:rPr>
        <w:t>Podpis</w:t>
      </w:r>
      <w:r w:rsidR="00E943CE">
        <w:rPr>
          <w:rFonts w:ascii="Verdana" w:eastAsia="Times New Roman" w:hAnsi="Verdana" w:cs="Times New Roman"/>
          <w:b/>
          <w:sz w:val="16"/>
          <w:szCs w:val="16"/>
        </w:rPr>
        <w:t xml:space="preserve"> dewelopera albo </w:t>
      </w:r>
      <w:r w:rsidRPr="00BC2537">
        <w:rPr>
          <w:rFonts w:ascii="Verdana" w:eastAsia="Times New Roman" w:hAnsi="Verdana" w:cs="Times New Roman"/>
          <w:b/>
          <w:sz w:val="16"/>
          <w:szCs w:val="16"/>
        </w:rPr>
        <w:t>osoby upoważnionej do reprezentacji dewelopera</w:t>
      </w:r>
      <w:r w:rsidR="00334BF7">
        <w:rPr>
          <w:rFonts w:ascii="Verdana" w:eastAsia="Times New Roman" w:hAnsi="Verdana" w:cs="Times New Roman"/>
          <w:b/>
          <w:sz w:val="16"/>
          <w:szCs w:val="16"/>
        </w:rPr>
        <w:t xml:space="preserve">  </w:t>
      </w:r>
    </w:p>
    <w:p w:rsidR="00334BF7" w:rsidRDefault="00334BF7" w:rsidP="00D80E3E">
      <w:pPr>
        <w:spacing w:beforeLines="60" w:afterLines="60" w:line="240" w:lineRule="auto"/>
        <w:jc w:val="right"/>
        <w:rPr>
          <w:rFonts w:ascii="Verdana" w:eastAsia="Times New Roman" w:hAnsi="Verdana" w:cs="Times New Roman"/>
          <w:b/>
          <w:sz w:val="16"/>
          <w:szCs w:val="16"/>
        </w:rPr>
      </w:pPr>
    </w:p>
    <w:p w:rsidR="00334BF7" w:rsidRDefault="00334BF7" w:rsidP="00D80E3E">
      <w:pPr>
        <w:spacing w:beforeLines="60" w:afterLines="60" w:line="240" w:lineRule="auto"/>
        <w:jc w:val="right"/>
        <w:rPr>
          <w:rFonts w:ascii="Verdana" w:eastAsia="Times New Roman" w:hAnsi="Verdana" w:cs="Times New Roman"/>
          <w:b/>
          <w:sz w:val="16"/>
          <w:szCs w:val="16"/>
        </w:rPr>
      </w:pPr>
    </w:p>
    <w:p w:rsidR="00EA1C22" w:rsidRPr="00334BF7" w:rsidRDefault="00334BF7" w:rsidP="00D80E3E">
      <w:pPr>
        <w:spacing w:beforeLines="60" w:afterLines="60" w:line="240" w:lineRule="auto"/>
        <w:jc w:val="right"/>
        <w:rPr>
          <w:rFonts w:ascii="Verdana" w:eastAsia="Times New Roman" w:hAnsi="Verdana" w:cs="Times New Roman"/>
          <w:sz w:val="16"/>
          <w:szCs w:val="16"/>
        </w:rPr>
      </w:pPr>
      <w:r>
        <w:rPr>
          <w:rFonts w:ascii="Verdana" w:eastAsia="Times New Roman" w:hAnsi="Verdana" w:cs="Times New Roman"/>
          <w:sz w:val="16"/>
          <w:szCs w:val="16"/>
        </w:rPr>
        <w:t>………………………………………………………………</w:t>
      </w:r>
      <w:r w:rsidR="00EA1C22" w:rsidRPr="00334BF7">
        <w:rPr>
          <w:rFonts w:ascii="Verdana" w:eastAsia="Times New Roman" w:hAnsi="Verdana" w:cs="Times New Roman"/>
          <w:sz w:val="16"/>
          <w:szCs w:val="16"/>
        </w:rPr>
        <w:t>...………………………………….</w:t>
      </w:r>
    </w:p>
    <w:p w:rsidR="00EA1C22" w:rsidRPr="00BC2537" w:rsidRDefault="00EA1C22" w:rsidP="00D80E3E">
      <w:pPr>
        <w:spacing w:beforeLines="60" w:afterLines="60" w:line="240" w:lineRule="auto"/>
        <w:rPr>
          <w:rFonts w:ascii="Verdana" w:eastAsia="Times New Roman" w:hAnsi="Verdana" w:cs="Times New Roman"/>
          <w:b/>
          <w:sz w:val="16"/>
          <w:szCs w:val="16"/>
        </w:rPr>
      </w:pPr>
    </w:p>
    <w:p w:rsidR="00EA1C22" w:rsidRPr="00BC2537" w:rsidRDefault="00EA1C22" w:rsidP="00D80E3E">
      <w:pPr>
        <w:spacing w:beforeLines="60" w:afterLines="60" w:line="240" w:lineRule="auto"/>
        <w:rPr>
          <w:rFonts w:ascii="Verdana" w:eastAsia="Times New Roman" w:hAnsi="Verdana" w:cs="Times New Roman"/>
          <w:b/>
          <w:sz w:val="16"/>
          <w:szCs w:val="16"/>
        </w:rPr>
      </w:pPr>
    </w:p>
    <w:p w:rsidR="00EA1C22" w:rsidRPr="00BC2537" w:rsidRDefault="00391026" w:rsidP="00D80E3E">
      <w:pPr>
        <w:spacing w:beforeLines="60" w:afterLines="60" w:line="240" w:lineRule="auto"/>
        <w:rPr>
          <w:rFonts w:ascii="Verdana" w:eastAsia="Times New Roman" w:hAnsi="Verdana" w:cs="Times New Roman"/>
          <w:b/>
          <w:sz w:val="16"/>
          <w:szCs w:val="16"/>
        </w:rPr>
      </w:pPr>
      <w:r w:rsidRPr="00391026">
        <w:rPr>
          <w:rFonts w:ascii="Verdana" w:eastAsia="Times New Roman" w:hAnsi="Verdana" w:cs="Times New Roman"/>
          <w:noProof/>
          <w:sz w:val="16"/>
          <w:szCs w:val="16"/>
          <w:lang w:eastAsia="pl-PL"/>
        </w:rPr>
        <w:pict>
          <v:line id="Line 20" o:spid="_x0000_s1026" style="position:absolute;flip:y;z-index:251660288;visibility:visible" from="-63pt,.8pt" to="53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" strokeweight="2.25pt"/>
        </w:pict>
      </w:r>
    </w:p>
    <w:p w:rsidR="00EA1C22" w:rsidRPr="00BC2537" w:rsidRDefault="00EA1C22" w:rsidP="00D80E3E">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Załączniki:</w:t>
      </w:r>
    </w:p>
    <w:p w:rsidR="00EA1C22" w:rsidRPr="000A15B5" w:rsidRDefault="00EA1C22" w:rsidP="00D80E3E">
      <w:pPr>
        <w:pStyle w:val="Akapitzlist"/>
        <w:numPr>
          <w:ilvl w:val="0"/>
          <w:numId w:val="10"/>
        </w:numPr>
        <w:spacing w:beforeLines="60" w:afterLines="60" w:line="240" w:lineRule="auto"/>
        <w:rPr>
          <w:rFonts w:ascii="Verdana" w:hAnsi="Verdana" w:cs="Times New Roman"/>
          <w:sz w:val="16"/>
          <w:szCs w:val="16"/>
        </w:rPr>
      </w:pPr>
      <w:r w:rsidRPr="000A15B5">
        <w:rPr>
          <w:rFonts w:ascii="Verdana" w:hAnsi="Verdana" w:cs="Times New Roman"/>
          <w:sz w:val="16"/>
          <w:szCs w:val="16"/>
        </w:rPr>
        <w:t>Rzut kondygnacji z zaznaczeniem lokalu mieszkalnego.</w:t>
      </w:r>
    </w:p>
    <w:p w:rsidR="005A2647" w:rsidRPr="005A2647" w:rsidRDefault="00EA1C22" w:rsidP="00D80E3E">
      <w:pPr>
        <w:pStyle w:val="Akapitzlist"/>
        <w:numPr>
          <w:ilvl w:val="0"/>
          <w:numId w:val="10"/>
        </w:numPr>
        <w:spacing w:beforeLines="60" w:afterLines="60" w:line="240" w:lineRule="auto"/>
        <w:rPr>
          <w:rFonts w:ascii="Verdana" w:eastAsia="TimesNewRoman" w:hAnsi="Verdana" w:cs="TimesNewRoman"/>
          <w:sz w:val="16"/>
          <w:szCs w:val="16"/>
        </w:rPr>
      </w:pPr>
      <w:r w:rsidRPr="005A2647">
        <w:rPr>
          <w:rFonts w:ascii="Verdana" w:hAnsi="Verdana" w:cs="Times New Roman"/>
          <w:sz w:val="16"/>
          <w:szCs w:val="16"/>
        </w:rPr>
        <w:t xml:space="preserve">Wzór umowy deweloperskiej lub umowy, o której mowa w art. 2 ust. 1 pkt 2, 3 lub 5 ustawy z dnia </w:t>
      </w:r>
      <w:r w:rsidR="008F0DE4" w:rsidRPr="005A2647">
        <w:rPr>
          <w:rFonts w:ascii="Verdana" w:hAnsi="Verdana"/>
          <w:sz w:val="16"/>
          <w:szCs w:val="16"/>
        </w:rPr>
        <w:t>20.05.2021r.</w:t>
      </w:r>
      <w:r w:rsidR="00920895" w:rsidRPr="005A2647">
        <w:rPr>
          <w:rFonts w:ascii="Verdana" w:hAnsi="Verdana" w:cs="Times New Roman"/>
          <w:sz w:val="16"/>
          <w:szCs w:val="16"/>
        </w:rPr>
        <w:t xml:space="preserve"> </w:t>
      </w:r>
      <w:r w:rsidRPr="005A2647">
        <w:rPr>
          <w:rFonts w:ascii="Verdana" w:hAnsi="Verdana" w:cs="Times New Roman"/>
          <w:sz w:val="16"/>
          <w:szCs w:val="16"/>
        </w:rPr>
        <w:t>o ochronie praw nabywcy lokalu mieszkalnego lub domu jednorodzinnego oraz o Deweloperskim Funduszu Gwarancyjnym.</w:t>
      </w:r>
    </w:p>
    <w:p w:rsidR="005A2647" w:rsidRPr="005A2647" w:rsidRDefault="005A2647" w:rsidP="00D80E3E">
      <w:pPr>
        <w:pStyle w:val="Akapitzlist"/>
        <w:numPr>
          <w:ilvl w:val="0"/>
          <w:numId w:val="10"/>
        </w:numPr>
        <w:spacing w:beforeLines="60" w:afterLines="60" w:line="240" w:lineRule="auto"/>
        <w:rPr>
          <w:rFonts w:ascii="Verdana" w:hAnsi="Verdana" w:cs="Times New Roman"/>
          <w:sz w:val="16"/>
          <w:szCs w:val="16"/>
        </w:rPr>
      </w:pPr>
      <w:r w:rsidRPr="005A2647">
        <w:rPr>
          <w:rFonts w:ascii="Verdana" w:eastAsia="TimesNewRoman" w:hAnsi="Verdana" w:cs="TimesNewRoman"/>
          <w:sz w:val="16"/>
          <w:szCs w:val="16"/>
        </w:rPr>
        <w:t>Szkic koncepcji zagospodarowania terenu inwestycji i jego otoczenia z zaznaczeniem budynku oraz istotnych uwarunkowań lokalizacji inwestycji wynikających z istniejącego stanu użytkowania terenów sąsiednich (np. z funkcji terenu, stref ochronnych, uciążliwości).</w:t>
      </w:r>
    </w:p>
    <w:p w:rsidR="000A15B5" w:rsidRPr="005A2647" w:rsidRDefault="00894ED2" w:rsidP="00D80E3E">
      <w:pPr>
        <w:pStyle w:val="Akapitzlist"/>
        <w:numPr>
          <w:ilvl w:val="0"/>
          <w:numId w:val="10"/>
        </w:numPr>
        <w:spacing w:beforeLines="60" w:afterLines="60" w:line="240" w:lineRule="auto"/>
        <w:rPr>
          <w:rFonts w:ascii="Verdana" w:hAnsi="Verdana" w:cs="Times New Roman"/>
          <w:sz w:val="16"/>
          <w:szCs w:val="16"/>
        </w:rPr>
      </w:pPr>
      <w:r w:rsidRPr="005A2647">
        <w:rPr>
          <w:rFonts w:ascii="Verdana" w:hAnsi="Verdana"/>
          <w:sz w:val="16"/>
          <w:szCs w:val="16"/>
        </w:rPr>
        <w:t>S</w:t>
      </w:r>
      <w:r w:rsidR="000A15B5" w:rsidRPr="005A2647">
        <w:rPr>
          <w:rFonts w:ascii="Verdana" w:hAnsi="Verdana"/>
          <w:sz w:val="16"/>
          <w:szCs w:val="16"/>
        </w:rPr>
        <w:t>tandard prac wykończeniowych, do których wykonania zobowiązuje się deweloper</w:t>
      </w:r>
      <w:r w:rsidRPr="005A2647">
        <w:rPr>
          <w:rFonts w:ascii="Verdana" w:hAnsi="Verdana"/>
          <w:sz w:val="16"/>
          <w:szCs w:val="16"/>
        </w:rPr>
        <w:t>.</w:t>
      </w:r>
    </w:p>
    <w:p w:rsidR="005A2647" w:rsidRDefault="005A2647" w:rsidP="00D80E3E">
      <w:pPr>
        <w:spacing w:beforeLines="60" w:afterLines="60" w:line="240" w:lineRule="auto"/>
        <w:rPr>
          <w:rFonts w:ascii="Verdana" w:hAnsi="Verdana" w:cs="Times New Roman"/>
          <w:sz w:val="16"/>
          <w:szCs w:val="16"/>
        </w:rPr>
      </w:pPr>
    </w:p>
    <w:p w:rsidR="005A2647" w:rsidRDefault="005A2647" w:rsidP="00D80E3E">
      <w:pPr>
        <w:spacing w:beforeLines="60" w:afterLines="60" w:line="240" w:lineRule="auto"/>
        <w:rPr>
          <w:rFonts w:ascii="Verdana" w:hAnsi="Verdana" w:cs="Times New Roman"/>
          <w:sz w:val="16"/>
          <w:szCs w:val="16"/>
        </w:rPr>
      </w:pPr>
    </w:p>
    <w:p w:rsidR="005A2647" w:rsidRDefault="005A2647" w:rsidP="00D80E3E">
      <w:pPr>
        <w:spacing w:beforeLines="60" w:afterLines="60" w:line="240" w:lineRule="auto"/>
        <w:rPr>
          <w:rFonts w:ascii="Verdana" w:hAnsi="Verdana" w:cs="Times New Roman"/>
          <w:sz w:val="16"/>
          <w:szCs w:val="16"/>
        </w:rPr>
      </w:pPr>
    </w:p>
    <w:p w:rsidR="005A2647" w:rsidRDefault="005A2647" w:rsidP="00D80E3E">
      <w:pPr>
        <w:spacing w:beforeLines="60" w:afterLines="60" w:line="240" w:lineRule="auto"/>
        <w:rPr>
          <w:rFonts w:ascii="Verdana" w:hAnsi="Verdana" w:cs="Times New Roman"/>
          <w:sz w:val="16"/>
          <w:szCs w:val="16"/>
        </w:rPr>
      </w:pPr>
    </w:p>
    <w:p w:rsidR="005A2647" w:rsidRPr="005A2647" w:rsidRDefault="005A2647" w:rsidP="00D80E3E">
      <w:pPr>
        <w:spacing w:beforeLines="60" w:afterLines="60" w:line="240" w:lineRule="auto"/>
        <w:rPr>
          <w:rFonts w:ascii="Verdana" w:hAnsi="Verdana" w:cs="Times New Roman"/>
          <w:sz w:val="16"/>
          <w:szCs w:val="16"/>
        </w:rPr>
      </w:pPr>
    </w:p>
    <w:p w:rsidR="000A15B5" w:rsidRPr="00BC2537" w:rsidRDefault="000A15B5" w:rsidP="00D80E3E">
      <w:pPr>
        <w:spacing w:beforeLines="60" w:afterLines="60" w:line="240" w:lineRule="auto"/>
        <w:rPr>
          <w:rFonts w:ascii="Verdana" w:eastAsia="Times New Roman" w:hAnsi="Verdana" w:cs="Times New Roman"/>
          <w:sz w:val="16"/>
          <w:szCs w:val="16"/>
        </w:rPr>
      </w:pPr>
    </w:p>
    <w:p w:rsidR="00EA1C22" w:rsidRPr="00BC2537" w:rsidRDefault="00391026" w:rsidP="00391026">
      <w:pPr>
        <w:spacing w:beforeLines="60" w:afterLines="60" w:line="240" w:lineRule="auto"/>
        <w:rPr>
          <w:rFonts w:ascii="Verdana" w:eastAsia="Times New Roman" w:hAnsi="Verdana" w:cs="Times New Roman"/>
          <w:b/>
          <w:sz w:val="16"/>
          <w:szCs w:val="16"/>
        </w:rPr>
      </w:pPr>
      <w:r w:rsidRPr="00391026">
        <w:rPr>
          <w:rFonts w:ascii="Verdana" w:eastAsia="Times New Roman" w:hAnsi="Verdana" w:cs="Times New Roman"/>
          <w:noProof/>
          <w:sz w:val="16"/>
          <w:szCs w:val="16"/>
          <w:lang w:eastAsia="pl-PL"/>
        </w:rPr>
        <w:pict>
          <v:line id="Line 19" o:spid="_x0000_s1027" style="position:absolute;flip:y;z-index:251661312;visibility:visible" from="-63pt,6.65pt" to="53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iyOGwIAADQ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" strokeweight="2.25pt"/>
        </w:pict>
      </w:r>
    </w:p>
    <w:sectPr w:rsidR="00EA1C22" w:rsidRPr="00BC2537" w:rsidSect="001F7FC1">
      <w:footnotePr>
        <w:numStart w:val="5"/>
      </w:footnotePr>
      <w:type w:val="continuous"/>
      <w:pgSz w:w="11906" w:h="16838" w:code="9"/>
      <w:pgMar w:top="363" w:right="851" w:bottom="363" w:left="851" w:header="0" w:footer="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C9E" w:rsidRDefault="00811C9E" w:rsidP="00EA1C22">
      <w:pPr>
        <w:spacing w:after="0" w:line="240" w:lineRule="auto"/>
      </w:pPr>
      <w:r>
        <w:separator/>
      </w:r>
    </w:p>
  </w:endnote>
  <w:endnote w:type="continuationSeparator" w:id="0">
    <w:p w:rsidR="00811C9E" w:rsidRDefault="00811C9E" w:rsidP="00EA1C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panose1 w:val="00000000000000000000"/>
    <w:charset w:val="EE"/>
    <w:family w:val="auto"/>
    <w:notTrueType/>
    <w:pitch w:val="default"/>
    <w:sig w:usb0="00000005" w:usb1="00000000" w:usb2="00000000" w:usb3="00000000" w:csb0="00000002"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MT">
    <w:altName w:val="Arial"/>
    <w:panose1 w:val="00000000000000000000"/>
    <w:charset w:val="00"/>
    <w:family w:val="swiss"/>
    <w:notTrueType/>
    <w:pitch w:val="default"/>
    <w:sig w:usb0="00002007" w:usb1="00000000" w:usb2="00000000" w:usb3="00000000" w:csb0="00000043" w:csb1="00000000"/>
  </w:font>
  <w:font w:name="Times">
    <w:panose1 w:val="02020603050405020304"/>
    <w:charset w:val="00"/>
    <w:family w:val="swiss"/>
    <w:notTrueType/>
    <w:pitch w:val="default"/>
    <w:sig w:usb0="00000007" w:usb1="00000000" w:usb2="00000000" w:usb3="00000000" w:csb0="00000003" w:csb1="00000000"/>
  </w:font>
  <w:font w:name="ArialNarrow">
    <w:altName w:val="MS Mincho"/>
    <w:panose1 w:val="00000000000000000000"/>
    <w:charset w:val="80"/>
    <w:family w:val="auto"/>
    <w:notTrueType/>
    <w:pitch w:val="default"/>
    <w:sig w:usb0="00000001" w:usb1="08070000" w:usb2="00000010" w:usb3="00000000" w:csb0="00020000" w:csb1="00000000"/>
  </w:font>
  <w:font w:name="Univers-P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D15" w:rsidRDefault="002A1D15">
    <w:pPr>
      <w:pStyle w:val="Stopka"/>
      <w:jc w:val="center"/>
    </w:pPr>
  </w:p>
  <w:p w:rsidR="002A1D15" w:rsidRDefault="002A1D1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C9E" w:rsidRDefault="00811C9E" w:rsidP="00EA1C22">
      <w:pPr>
        <w:spacing w:after="0" w:line="240" w:lineRule="auto"/>
      </w:pPr>
      <w:r>
        <w:separator/>
      </w:r>
    </w:p>
  </w:footnote>
  <w:footnote w:type="continuationSeparator" w:id="0">
    <w:p w:rsidR="00811C9E" w:rsidRDefault="00811C9E" w:rsidP="00EA1C22">
      <w:pPr>
        <w:spacing w:after="0" w:line="240" w:lineRule="auto"/>
      </w:pPr>
      <w:r>
        <w:continuationSeparator/>
      </w:r>
    </w:p>
  </w:footnote>
  <w:footnote w:id="1">
    <w:p w:rsidR="002A1D15" w:rsidRPr="00360355" w:rsidRDefault="002A1D15" w:rsidP="002D09C5">
      <w:pPr>
        <w:pStyle w:val="Akapitzlist"/>
        <w:widowControl/>
        <w:numPr>
          <w:ilvl w:val="0"/>
          <w:numId w:val="11"/>
        </w:numPr>
        <w:spacing w:line="240" w:lineRule="auto"/>
        <w:rPr>
          <w:rFonts w:ascii="Verdana" w:eastAsia="TimesNewRoman" w:hAnsi="Verdana" w:cs="TimesNewRoman"/>
          <w:sz w:val="12"/>
          <w:szCs w:val="12"/>
        </w:rPr>
      </w:pPr>
      <w:r w:rsidRPr="00360355">
        <w:rPr>
          <w:rFonts w:ascii="Verdana" w:eastAsia="TimesNewRoman" w:hAnsi="Verdana" w:cs="TimesNewRoman"/>
          <w:sz w:val="12"/>
          <w:szCs w:val="12"/>
        </w:rPr>
        <w:t xml:space="preserve">Jeżeli działka nie posiada adresu, należy opisowo określić jej położenie. </w:t>
      </w:r>
    </w:p>
    <w:p w:rsidR="002A1D15" w:rsidRPr="00360355" w:rsidRDefault="002A1D15" w:rsidP="002D09C5">
      <w:pPr>
        <w:pStyle w:val="Akapitzlist"/>
        <w:widowControl/>
        <w:numPr>
          <w:ilvl w:val="0"/>
          <w:numId w:val="11"/>
        </w:numPr>
        <w:spacing w:line="240" w:lineRule="auto"/>
        <w:rPr>
          <w:rFonts w:ascii="Verdana" w:eastAsia="TimesNewRoman" w:hAnsi="Verdana" w:cs="TimesNewRoman"/>
          <w:sz w:val="12"/>
          <w:szCs w:val="12"/>
        </w:rPr>
      </w:pPr>
      <w:r w:rsidRPr="00360355">
        <w:rPr>
          <w:rFonts w:ascii="Verdana" w:eastAsia="TimesNewRoman" w:hAnsi="Verdana" w:cs="TimesNewRoman"/>
          <w:sz w:val="12"/>
          <w:szCs w:val="12"/>
        </w:rPr>
        <w:t>W szczególności imię i nazwisko albo firma właściciela lub użytkownika wieczystego oraz istniejące obciążenia na nieruchomości.</w:t>
      </w:r>
    </w:p>
    <w:p w:rsidR="002A1D15" w:rsidRPr="00360355" w:rsidRDefault="002A1D15" w:rsidP="002D09C5">
      <w:pPr>
        <w:pStyle w:val="Akapitzlist"/>
        <w:widowControl/>
        <w:numPr>
          <w:ilvl w:val="0"/>
          <w:numId w:val="11"/>
        </w:numPr>
        <w:spacing w:line="240" w:lineRule="auto"/>
        <w:rPr>
          <w:rFonts w:ascii="Verdana" w:eastAsia="TimesNewRoman" w:hAnsi="Verdana" w:cs="TimesNewRoman"/>
          <w:sz w:val="12"/>
          <w:szCs w:val="12"/>
        </w:rPr>
      </w:pPr>
      <w:r w:rsidRPr="00360355">
        <w:rPr>
          <w:rFonts w:ascii="Verdana" w:eastAsia="TimesNewRoman" w:hAnsi="Verdana" w:cs="TimesNewRoman"/>
          <w:sz w:val="12"/>
          <w:szCs w:val="12"/>
        </w:rPr>
        <w:t>W szczególności obiekty generujące uciążliwości zapachowe, hałasowe, świetlne.</w:t>
      </w:r>
    </w:p>
    <w:p w:rsidR="002A1D15" w:rsidRPr="00360355" w:rsidRDefault="002A1D15" w:rsidP="002D09C5">
      <w:pPr>
        <w:pStyle w:val="Akapitzlist"/>
        <w:widowControl/>
        <w:numPr>
          <w:ilvl w:val="0"/>
          <w:numId w:val="11"/>
        </w:numPr>
        <w:spacing w:line="240" w:lineRule="auto"/>
        <w:rPr>
          <w:rFonts w:ascii="Verdana" w:eastAsia="TimesNewRoman" w:hAnsi="Verdana" w:cs="TimesNewRoman,Bold"/>
          <w:bCs/>
          <w:sz w:val="12"/>
          <w:szCs w:val="12"/>
        </w:rPr>
      </w:pPr>
      <w:r w:rsidRPr="00360355">
        <w:rPr>
          <w:rFonts w:ascii="Verdana" w:eastAsia="TimesNewRoman" w:hAnsi="Verdana" w:cs="TimesNewRoman"/>
          <w:sz w:val="12"/>
          <w:szCs w:val="12"/>
        </w:rPr>
        <w:t>Akty prawne (rozporządzenia, zarządzenia, uchwały) w sprawach</w:t>
      </w:r>
      <w:r w:rsidRPr="00360355">
        <w:rPr>
          <w:rFonts w:ascii="Verdana" w:eastAsia="TimesNewRoman" w:hAnsi="Verdana" w:cs="TimesNewRoman,Bold"/>
          <w:bCs/>
          <w:sz w:val="12"/>
          <w:szCs w:val="12"/>
        </w:rPr>
        <w:t>:</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dotyczących Inwestycji, Inwestycji Towarzyszących oraz obszaru otoczenia CPK,</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lokalizacji inwestycji mieszkaniowej lub inwestycji towarzyszącej,</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ustanowienia form ochrony przyrody lub ich otulin (parku narodowego, rezerwatu przyrody, parku krajobrazowego, obszaru chronionego krajobrazu, obszaru Natura 2000, pomnika przyrody, stanowiska dokumentacyjnego, użytku ekologicznego, zespołu przyrodniczo-krajobrazowego, ochrony gatunkowej roślin, zwierząt i grzybów),</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ustanowienia strefy ochronnej terenu ochrony bezpośredniej i terenu ochrony pośredniej ujęcia wody,</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wyznaczenia obszarów cichych w aglomeracji lub obszarów cichych poza aglomeracją,</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utworzenia obszaru ograniczonego użytkowania,</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uznania zabytku za pomnik historii,</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określenia granic obszaru Pomnika Zagłady i jego strefy ochronnej, utworzenia parku kulturowego,</w:t>
      </w:r>
    </w:p>
    <w:p w:rsidR="002A1D15" w:rsidRPr="001C3E88" w:rsidRDefault="002A1D15" w:rsidP="001C3E88">
      <w:pPr>
        <w:pStyle w:val="Akapitzlist"/>
        <w:widowControl/>
        <w:numPr>
          <w:ilvl w:val="0"/>
          <w:numId w:val="12"/>
        </w:numPr>
        <w:spacing w:line="240" w:lineRule="auto"/>
        <w:ind w:left="737" w:right="-227"/>
        <w:rPr>
          <w:rFonts w:ascii="Verdana" w:hAnsi="Verdana"/>
          <w:color w:val="00B050"/>
          <w:sz w:val="12"/>
          <w:szCs w:val="12"/>
        </w:rPr>
      </w:pPr>
      <w:r w:rsidRPr="001C3E88">
        <w:rPr>
          <w:rFonts w:ascii="Verdana" w:eastAsia="TimesNewRoman" w:hAnsi="Verdana" w:cs="TimesNewRoman"/>
          <w:sz w:val="12"/>
          <w:szCs w:val="12"/>
        </w:rPr>
        <w:t>ustalenia zasad i warunków sytuowania obiektów małej architektury, tablic reklamowych i urządzeń reklamowych oraz ogrodzeń, ich gabarytów,  standardów jakościowych oraz rodzajów materiałów budowlanych.</w:t>
      </w:r>
      <w:r>
        <w:rPr>
          <w:rFonts w:ascii="Verdana" w:eastAsia="TimesNewRoman" w:hAnsi="Verdana" w:cs="TimesNewRoman"/>
          <w:sz w:val="12"/>
          <w:szCs w:val="12"/>
        </w:rPr>
        <w:t xml:space="preserve"> </w:t>
      </w:r>
    </w:p>
  </w:footnote>
  <w:footnote w:id="2">
    <w:p w:rsidR="002A1D15" w:rsidRPr="00A92FBA" w:rsidRDefault="002A1D15" w:rsidP="00143535">
      <w:pPr>
        <w:pStyle w:val="Tekstprzypisudolnego"/>
        <w:ind w:left="284" w:hanging="284"/>
        <w:jc w:val="both"/>
        <w:rPr>
          <w:rFonts w:ascii="Verdana" w:hAnsi="Verdana" w:cs="Times New Roman"/>
          <w:color w:val="00B050"/>
          <w:sz w:val="2"/>
          <w:szCs w:val="2"/>
        </w:rPr>
      </w:pPr>
    </w:p>
  </w:footnote>
  <w:footnote w:id="3">
    <w:p w:rsidR="002A1D15" w:rsidRPr="00A92FBA" w:rsidRDefault="002A1D15" w:rsidP="00143535">
      <w:pPr>
        <w:pStyle w:val="Tekstprzypisudolnego"/>
        <w:ind w:left="284" w:hanging="284"/>
        <w:jc w:val="both"/>
        <w:rPr>
          <w:rFonts w:ascii="Verdana" w:hAnsi="Verdana" w:cs="Times New Roman"/>
          <w:color w:val="00B050"/>
          <w:sz w:val="2"/>
          <w:szCs w:val="2"/>
        </w:rPr>
      </w:pPr>
    </w:p>
  </w:footnote>
  <w:footnote w:id="4">
    <w:p w:rsidR="002A1D15" w:rsidRPr="00A92FBA" w:rsidRDefault="002A1D15" w:rsidP="002D09C5">
      <w:pPr>
        <w:pStyle w:val="Akapitzlist"/>
        <w:widowControl/>
        <w:autoSpaceDE/>
        <w:autoSpaceDN/>
        <w:adjustRightInd/>
        <w:spacing w:line="240" w:lineRule="auto"/>
        <w:ind w:left="567"/>
        <w:jc w:val="both"/>
        <w:rPr>
          <w:rFonts w:cs="Times New Roman"/>
          <w:color w:val="00B050"/>
          <w:sz w:val="2"/>
          <w:szCs w:val="2"/>
        </w:rPr>
      </w:pPr>
    </w:p>
  </w:footnote>
  <w:footnote w:id="5">
    <w:p w:rsidR="002A1D15" w:rsidRPr="00F8188D" w:rsidRDefault="002A1D15" w:rsidP="00F5111A">
      <w:pPr>
        <w:spacing w:after="0"/>
        <w:rPr>
          <w:rFonts w:ascii="Verdana" w:eastAsia="TimesNewRoman" w:hAnsi="Verdana" w:cs="TimesNewRoman"/>
          <w:sz w:val="12"/>
          <w:szCs w:val="12"/>
        </w:rPr>
      </w:pPr>
      <w:r w:rsidRPr="00F8188D">
        <w:rPr>
          <w:rStyle w:val="Odwoanieprzypisudolnego"/>
          <w:rFonts w:ascii="Verdana" w:eastAsia="TimesNewRoman" w:hAnsi="Verdana"/>
          <w:sz w:val="16"/>
          <w:szCs w:val="16"/>
        </w:rPr>
        <w:footnoteRef/>
      </w:r>
      <w:r w:rsidRPr="00F8188D">
        <w:rPr>
          <w:rFonts w:ascii="Verdana" w:eastAsia="TimesNewRoman" w:hAnsi="Verdana" w:cs="Times"/>
          <w:sz w:val="16"/>
          <w:szCs w:val="16"/>
          <w:vertAlign w:val="superscript"/>
        </w:rPr>
        <w:t>)</w:t>
      </w:r>
      <w:r w:rsidRPr="00F8188D">
        <w:rPr>
          <w:rFonts w:ascii="Verdana" w:eastAsia="TimesNewRoman" w:hAnsi="Verdana" w:cs="TimesNewRoman"/>
          <w:sz w:val="12"/>
          <w:szCs w:val="12"/>
        </w:rPr>
        <w:t>W przypadku braku miejscowego planu zagospodarowania przestrzennego umieszcza się informację „Brak planu”.</w:t>
      </w:r>
    </w:p>
    <w:p w:rsidR="002A1D15" w:rsidRPr="00653B69" w:rsidRDefault="002A1D15">
      <w:pPr>
        <w:pStyle w:val="Tekstprzypisudolnego"/>
        <w:rPr>
          <w:sz w:val="2"/>
          <w:szCs w:val="2"/>
        </w:rPr>
      </w:pPr>
    </w:p>
  </w:footnote>
  <w:footnote w:id="6">
    <w:p w:rsidR="002A1D15" w:rsidRPr="006A1BE7" w:rsidRDefault="002A1D15" w:rsidP="001C0917">
      <w:pPr>
        <w:autoSpaceDE w:val="0"/>
        <w:autoSpaceDN w:val="0"/>
        <w:adjustRightInd w:val="0"/>
        <w:spacing w:after="0" w:line="240" w:lineRule="auto"/>
        <w:rPr>
          <w:rFonts w:ascii="Verdana" w:eastAsia="TimesNewRoman" w:hAnsi="Verdana" w:cs="TimesNewRoman"/>
          <w:sz w:val="12"/>
          <w:szCs w:val="12"/>
        </w:rPr>
      </w:pPr>
      <w:r w:rsidRPr="006A1BE7">
        <w:rPr>
          <w:rFonts w:ascii="Verdana" w:eastAsia="TimesNewRoman" w:hAnsi="Verdana" w:cs="TimesNewRoman"/>
          <w:sz w:val="12"/>
          <w:szCs w:val="12"/>
          <w:vertAlign w:val="superscript"/>
        </w:rPr>
        <w:t>6)</w:t>
      </w:r>
      <w:r w:rsidRPr="006A1BE7">
        <w:rPr>
          <w:rFonts w:ascii="Verdana" w:eastAsia="TimesNewRoman" w:hAnsi="Verdana" w:cs="TimesNewRoman"/>
          <w:sz w:val="12"/>
          <w:szCs w:val="12"/>
        </w:rPr>
        <w:t xml:space="preserve"> Wskazane inwestycje dotyczą w szczególności budowy lub rozbudowy dróg, budowy linii szynowych oraz przewidzianych korytarzy powietrznych, inwestycji komunalnych, takich jak: oczyszczalnie ścieków, spalarnie śmieci, wysypiska, cmentarze.</w:t>
      </w:r>
    </w:p>
    <w:p w:rsidR="002A1D15" w:rsidRPr="001C0917" w:rsidRDefault="002A1D15">
      <w:pPr>
        <w:pStyle w:val="Tekstprzypisudolnego"/>
        <w:rPr>
          <w:vertAlign w:val="superscript"/>
        </w:rPr>
      </w:pPr>
    </w:p>
  </w:footnote>
  <w:footnote w:id="7">
    <w:p w:rsidR="002A1D15" w:rsidRPr="006A1BE7" w:rsidRDefault="002A1D15" w:rsidP="00056A78">
      <w:pPr>
        <w:autoSpaceDE w:val="0"/>
        <w:autoSpaceDN w:val="0"/>
        <w:adjustRightInd w:val="0"/>
        <w:spacing w:after="0" w:line="240" w:lineRule="auto"/>
        <w:rPr>
          <w:rFonts w:ascii="Verdana" w:eastAsia="TimesNewRoman" w:hAnsi="Verdana" w:cs="TimesNewRoman"/>
          <w:sz w:val="12"/>
          <w:szCs w:val="12"/>
        </w:rPr>
      </w:pPr>
      <w:r w:rsidRPr="006A1BE7">
        <w:rPr>
          <w:rFonts w:ascii="Verdana" w:eastAsia="TimesNewRoman" w:hAnsi="Verdana" w:cs="TimesNewRoman"/>
          <w:sz w:val="12"/>
          <w:szCs w:val="12"/>
          <w:vertAlign w:val="superscript"/>
        </w:rPr>
        <w:t>7)</w:t>
      </w:r>
      <w:r w:rsidRPr="006A1BE7">
        <w:rPr>
          <w:rFonts w:ascii="Verdana" w:eastAsia="TimesNewRoman" w:hAnsi="Verdana" w:cs="TimesNewRoman"/>
          <w:sz w:val="12"/>
          <w:szCs w:val="12"/>
        </w:rPr>
        <w:t xml:space="preserve"> Zgodnie z art. 48 ust. 6 ustawy z dnia 20 maja 2021 r. o ochronie praw nabywcy lokalu mieszkalnego lub domu jednorodzinnego oraz Deweloperskim Funduszu Gwarancyjnym (Dz. U. z 2024 r. poz. 695) wysokość składki jest wyliczana według stawki procentowej obowiązującej w dniu rozpoczęcia sprzedaży lokali mieszkalnych lub domów jednorodzinnych w ramach danego przedsięwzięcia deweloperskiego lub zadania inwestycyjnego. Natomiast stawkę procentową określa akt wykonawczy wydany na podstawie art. 48 ust. 8 ustawy z dnia 20 maja 2021 r. o ochronie praw nabywcy lokalu mieszkalnego lub domu jednorodzinnego oraz Deweloperskim Funduszu Gwarancyjnym.</w:t>
      </w:r>
    </w:p>
    <w:p w:rsidR="002A1D15" w:rsidRPr="004D11E3" w:rsidRDefault="002A1D15" w:rsidP="00A60E59">
      <w:pPr>
        <w:pStyle w:val="Tekstprzypisudolnego"/>
        <w:rPr>
          <w:rFonts w:ascii="Verdana" w:hAnsi="Verdana"/>
          <w:sz w:val="12"/>
          <w:szCs w:val="12"/>
        </w:rPr>
      </w:pPr>
      <w:r w:rsidRPr="006A1BE7">
        <w:rPr>
          <w:rStyle w:val="Odwoanieprzypisudolnego"/>
          <w:rFonts w:ascii="Verdana" w:hAnsi="Verdana"/>
          <w:sz w:val="12"/>
          <w:szCs w:val="12"/>
        </w:rPr>
        <w:t>*</w:t>
      </w:r>
      <w:r w:rsidRPr="006A1BE7">
        <w:rPr>
          <w:rFonts w:ascii="Verdana" w:hAnsi="Verdana"/>
          <w:sz w:val="12"/>
          <w:szCs w:val="12"/>
        </w:rPr>
        <w:t xml:space="preserve"> Niepotrzebne skreślić.</w:t>
      </w:r>
      <w:r w:rsidRPr="004D11E3">
        <w:rPr>
          <w:rFonts w:ascii="Verdana" w:hAnsi="Verdana"/>
          <w:sz w:val="12"/>
          <w:szCs w:val="12"/>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A4578"/>
    <w:multiLevelType w:val="hybridMultilevel"/>
    <w:tmpl w:val="976487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4B87BC5"/>
    <w:multiLevelType w:val="hybridMultilevel"/>
    <w:tmpl w:val="172C57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13775F0"/>
    <w:multiLevelType w:val="hybridMultilevel"/>
    <w:tmpl w:val="8FF8A364"/>
    <w:lvl w:ilvl="0" w:tplc="D844672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2764B05"/>
    <w:multiLevelType w:val="hybridMultilevel"/>
    <w:tmpl w:val="29FE3E7E"/>
    <w:lvl w:ilvl="0" w:tplc="04150017">
      <w:start w:val="1"/>
      <w:numFmt w:val="lowerLetter"/>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
    <w:nsid w:val="25417122"/>
    <w:multiLevelType w:val="hybridMultilevel"/>
    <w:tmpl w:val="EF645F1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3D797B32"/>
    <w:multiLevelType w:val="hybridMultilevel"/>
    <w:tmpl w:val="AA02BD5A"/>
    <w:lvl w:ilvl="0" w:tplc="B3BCA90E">
      <w:start w:val="1"/>
      <w:numFmt w:val="decimal"/>
      <w:lvlText w:val="%1)"/>
      <w:lvlJc w:val="left"/>
      <w:pPr>
        <w:ind w:left="720" w:hanging="360"/>
      </w:pPr>
      <w:rPr>
        <w:rFonts w:ascii="Verdana" w:hAnsi="Verdana" w:hint="default"/>
        <w:sz w:val="12"/>
        <w:szCs w:val="1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307439"/>
    <w:multiLevelType w:val="hybridMultilevel"/>
    <w:tmpl w:val="07CC6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AD62A57"/>
    <w:multiLevelType w:val="hybridMultilevel"/>
    <w:tmpl w:val="1BCCB4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F36071F"/>
    <w:multiLevelType w:val="hybridMultilevel"/>
    <w:tmpl w:val="B21C6DFE"/>
    <w:lvl w:ilvl="0" w:tplc="198EDF72">
      <w:start w:val="1"/>
      <w:numFmt w:val="decimal"/>
      <w:lvlText w:val="%1."/>
      <w:lvlJc w:val="left"/>
      <w:pPr>
        <w:ind w:left="405" w:hanging="405"/>
      </w:pPr>
      <w:rPr>
        <w:rFonts w:hint="default"/>
      </w:rPr>
    </w:lvl>
    <w:lvl w:ilvl="1" w:tplc="198EDF7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5819737E"/>
    <w:multiLevelType w:val="hybridMultilevel"/>
    <w:tmpl w:val="E102BAC4"/>
    <w:lvl w:ilvl="0" w:tplc="93A8179C">
      <w:start w:val="3"/>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5AFF2555"/>
    <w:multiLevelType w:val="hybridMultilevel"/>
    <w:tmpl w:val="9BBAA0D6"/>
    <w:lvl w:ilvl="0" w:tplc="7C1A51B2">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614A0E5D"/>
    <w:multiLevelType w:val="hybridMultilevel"/>
    <w:tmpl w:val="9438C9A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79771926"/>
    <w:multiLevelType w:val="hybridMultilevel"/>
    <w:tmpl w:val="1912319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7CFB0839"/>
    <w:multiLevelType w:val="hybridMultilevel"/>
    <w:tmpl w:val="E85A68D4"/>
    <w:lvl w:ilvl="0" w:tplc="75BAFD5C">
      <w:start w:val="1"/>
      <w:numFmt w:val="decimal"/>
      <w:lvlText w:val="%1)"/>
      <w:lvlJc w:val="left"/>
      <w:pPr>
        <w:ind w:left="765" w:hanging="405"/>
      </w:pPr>
      <w:rPr>
        <w:rFonts w:hint="default"/>
      </w:rPr>
    </w:lvl>
    <w:lvl w:ilvl="1" w:tplc="198EDF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9"/>
  </w:num>
  <w:num w:numId="3">
    <w:abstractNumId w:val="13"/>
  </w:num>
  <w:num w:numId="4">
    <w:abstractNumId w:val="3"/>
  </w:num>
  <w:num w:numId="5">
    <w:abstractNumId w:val="5"/>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num>
  <w:num w:numId="10">
    <w:abstractNumId w:val="8"/>
  </w:num>
  <w:num w:numId="11">
    <w:abstractNumId w:val="4"/>
  </w:num>
  <w:num w:numId="12">
    <w:abstractNumId w:val="2"/>
  </w:num>
  <w:num w:numId="13">
    <w:abstractNumId w:val="0"/>
  </w:num>
  <w:num w:numId="14">
    <w:abstractNumId w:val="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hdrShapeDefaults>
    <o:shapedefaults v:ext="edit" spidmax="129026"/>
  </w:hdrShapeDefaults>
  <w:footnotePr>
    <w:numRestart w:val="eachPage"/>
    <w:footnote w:id="-1"/>
    <w:footnote w:id="0"/>
  </w:footnotePr>
  <w:endnotePr>
    <w:endnote w:id="-1"/>
    <w:endnote w:id="0"/>
  </w:endnotePr>
  <w:compat/>
  <w:rsids>
    <w:rsidRoot w:val="00EA1C22"/>
    <w:rsid w:val="000030B3"/>
    <w:rsid w:val="00013130"/>
    <w:rsid w:val="000132EE"/>
    <w:rsid w:val="00034C31"/>
    <w:rsid w:val="00056A78"/>
    <w:rsid w:val="0008385F"/>
    <w:rsid w:val="00083D5C"/>
    <w:rsid w:val="000902D9"/>
    <w:rsid w:val="000A15B5"/>
    <w:rsid w:val="000B089F"/>
    <w:rsid w:val="000B36A6"/>
    <w:rsid w:val="000B4F79"/>
    <w:rsid w:val="000D3C9B"/>
    <w:rsid w:val="000E683C"/>
    <w:rsid w:val="000E73CE"/>
    <w:rsid w:val="000F29CD"/>
    <w:rsid w:val="00110283"/>
    <w:rsid w:val="00110C3B"/>
    <w:rsid w:val="001126E4"/>
    <w:rsid w:val="0012575B"/>
    <w:rsid w:val="0012665D"/>
    <w:rsid w:val="0012739C"/>
    <w:rsid w:val="00134DDD"/>
    <w:rsid w:val="001354DB"/>
    <w:rsid w:val="00143535"/>
    <w:rsid w:val="001447F7"/>
    <w:rsid w:val="001671B3"/>
    <w:rsid w:val="00181429"/>
    <w:rsid w:val="001C0917"/>
    <w:rsid w:val="001C3E88"/>
    <w:rsid w:val="001D1AE8"/>
    <w:rsid w:val="001E130F"/>
    <w:rsid w:val="001E2DE3"/>
    <w:rsid w:val="001F17E3"/>
    <w:rsid w:val="001F6950"/>
    <w:rsid w:val="001F7FC1"/>
    <w:rsid w:val="00203567"/>
    <w:rsid w:val="00203DE3"/>
    <w:rsid w:val="00204EA4"/>
    <w:rsid w:val="00215FD0"/>
    <w:rsid w:val="002219DF"/>
    <w:rsid w:val="00224988"/>
    <w:rsid w:val="00225ADA"/>
    <w:rsid w:val="00236DF1"/>
    <w:rsid w:val="002579B7"/>
    <w:rsid w:val="0026270D"/>
    <w:rsid w:val="0026377A"/>
    <w:rsid w:val="0027622C"/>
    <w:rsid w:val="0028440B"/>
    <w:rsid w:val="00295A1A"/>
    <w:rsid w:val="002A1D15"/>
    <w:rsid w:val="002A348D"/>
    <w:rsid w:val="002B659B"/>
    <w:rsid w:val="002D09C5"/>
    <w:rsid w:val="002F0B3A"/>
    <w:rsid w:val="00304150"/>
    <w:rsid w:val="00310FC0"/>
    <w:rsid w:val="00322E51"/>
    <w:rsid w:val="00326B20"/>
    <w:rsid w:val="00334BF7"/>
    <w:rsid w:val="00341432"/>
    <w:rsid w:val="003575AC"/>
    <w:rsid w:val="00365890"/>
    <w:rsid w:val="00370A03"/>
    <w:rsid w:val="00372EAA"/>
    <w:rsid w:val="00391026"/>
    <w:rsid w:val="003A148B"/>
    <w:rsid w:val="003B347D"/>
    <w:rsid w:val="003C567D"/>
    <w:rsid w:val="003D3786"/>
    <w:rsid w:val="003E5987"/>
    <w:rsid w:val="003F6527"/>
    <w:rsid w:val="003F7ADF"/>
    <w:rsid w:val="003F7E75"/>
    <w:rsid w:val="00406E45"/>
    <w:rsid w:val="0041565A"/>
    <w:rsid w:val="004306A6"/>
    <w:rsid w:val="00441BFF"/>
    <w:rsid w:val="004460C4"/>
    <w:rsid w:val="004530BD"/>
    <w:rsid w:val="004647E4"/>
    <w:rsid w:val="004743E5"/>
    <w:rsid w:val="004949CB"/>
    <w:rsid w:val="004A0BF9"/>
    <w:rsid w:val="004A6EEF"/>
    <w:rsid w:val="004C5173"/>
    <w:rsid w:val="004D11E3"/>
    <w:rsid w:val="004D354B"/>
    <w:rsid w:val="004E2261"/>
    <w:rsid w:val="00503813"/>
    <w:rsid w:val="00506896"/>
    <w:rsid w:val="005145B3"/>
    <w:rsid w:val="00521136"/>
    <w:rsid w:val="0056380A"/>
    <w:rsid w:val="0058716A"/>
    <w:rsid w:val="00587653"/>
    <w:rsid w:val="005A0DDA"/>
    <w:rsid w:val="005A2647"/>
    <w:rsid w:val="005B1A9B"/>
    <w:rsid w:val="005B5208"/>
    <w:rsid w:val="005C5B9B"/>
    <w:rsid w:val="005C6C0B"/>
    <w:rsid w:val="005D128A"/>
    <w:rsid w:val="005D272E"/>
    <w:rsid w:val="005E61F1"/>
    <w:rsid w:val="005E628A"/>
    <w:rsid w:val="005F17E8"/>
    <w:rsid w:val="006177CF"/>
    <w:rsid w:val="00623EFC"/>
    <w:rsid w:val="00632E85"/>
    <w:rsid w:val="00633F24"/>
    <w:rsid w:val="00640106"/>
    <w:rsid w:val="00653B69"/>
    <w:rsid w:val="0065664A"/>
    <w:rsid w:val="00682B15"/>
    <w:rsid w:val="00682BBF"/>
    <w:rsid w:val="00683639"/>
    <w:rsid w:val="00685D5F"/>
    <w:rsid w:val="006A1BE7"/>
    <w:rsid w:val="006B7298"/>
    <w:rsid w:val="006D6DE6"/>
    <w:rsid w:val="006F4440"/>
    <w:rsid w:val="006F6789"/>
    <w:rsid w:val="006F6DC0"/>
    <w:rsid w:val="007205B5"/>
    <w:rsid w:val="00722EAC"/>
    <w:rsid w:val="00743040"/>
    <w:rsid w:val="00743CB2"/>
    <w:rsid w:val="00744B00"/>
    <w:rsid w:val="00750C30"/>
    <w:rsid w:val="00776BDB"/>
    <w:rsid w:val="00786A8C"/>
    <w:rsid w:val="00795E9F"/>
    <w:rsid w:val="007968E9"/>
    <w:rsid w:val="007E2879"/>
    <w:rsid w:val="007E3E4D"/>
    <w:rsid w:val="007E6529"/>
    <w:rsid w:val="007F577D"/>
    <w:rsid w:val="008063D8"/>
    <w:rsid w:val="00811C9E"/>
    <w:rsid w:val="0081236E"/>
    <w:rsid w:val="008171D9"/>
    <w:rsid w:val="00825F0E"/>
    <w:rsid w:val="0083049F"/>
    <w:rsid w:val="00845F85"/>
    <w:rsid w:val="00850FD4"/>
    <w:rsid w:val="00864BD1"/>
    <w:rsid w:val="008671B0"/>
    <w:rsid w:val="00872473"/>
    <w:rsid w:val="0087431C"/>
    <w:rsid w:val="00885D24"/>
    <w:rsid w:val="00892AC3"/>
    <w:rsid w:val="00894ED2"/>
    <w:rsid w:val="00896D55"/>
    <w:rsid w:val="008A1857"/>
    <w:rsid w:val="008A5FB4"/>
    <w:rsid w:val="008B17A2"/>
    <w:rsid w:val="008E349B"/>
    <w:rsid w:val="008E52A2"/>
    <w:rsid w:val="008F0DE4"/>
    <w:rsid w:val="008F307F"/>
    <w:rsid w:val="00900963"/>
    <w:rsid w:val="00910446"/>
    <w:rsid w:val="00920895"/>
    <w:rsid w:val="00921952"/>
    <w:rsid w:val="009243CD"/>
    <w:rsid w:val="00932C5A"/>
    <w:rsid w:val="00941C62"/>
    <w:rsid w:val="00952F99"/>
    <w:rsid w:val="00953781"/>
    <w:rsid w:val="00962CDE"/>
    <w:rsid w:val="00963A74"/>
    <w:rsid w:val="00970C5E"/>
    <w:rsid w:val="00980111"/>
    <w:rsid w:val="00990108"/>
    <w:rsid w:val="00991C96"/>
    <w:rsid w:val="00996257"/>
    <w:rsid w:val="009D6820"/>
    <w:rsid w:val="009D7496"/>
    <w:rsid w:val="009D780B"/>
    <w:rsid w:val="009E3486"/>
    <w:rsid w:val="009E7F2C"/>
    <w:rsid w:val="00A03D98"/>
    <w:rsid w:val="00A05B59"/>
    <w:rsid w:val="00A14D4A"/>
    <w:rsid w:val="00A15F7D"/>
    <w:rsid w:val="00A239C2"/>
    <w:rsid w:val="00A400AA"/>
    <w:rsid w:val="00A521DA"/>
    <w:rsid w:val="00A60E59"/>
    <w:rsid w:val="00A72FC1"/>
    <w:rsid w:val="00A80C58"/>
    <w:rsid w:val="00A8482A"/>
    <w:rsid w:val="00A92FBA"/>
    <w:rsid w:val="00A975D0"/>
    <w:rsid w:val="00AC00A3"/>
    <w:rsid w:val="00AC0FD1"/>
    <w:rsid w:val="00AC1AAD"/>
    <w:rsid w:val="00AC1CE1"/>
    <w:rsid w:val="00B021C8"/>
    <w:rsid w:val="00B05779"/>
    <w:rsid w:val="00B11A48"/>
    <w:rsid w:val="00B349E0"/>
    <w:rsid w:val="00B45A9E"/>
    <w:rsid w:val="00B514F5"/>
    <w:rsid w:val="00B54D2E"/>
    <w:rsid w:val="00B62283"/>
    <w:rsid w:val="00B746D2"/>
    <w:rsid w:val="00B7541A"/>
    <w:rsid w:val="00B94D59"/>
    <w:rsid w:val="00BB4899"/>
    <w:rsid w:val="00BC2537"/>
    <w:rsid w:val="00BC3D01"/>
    <w:rsid w:val="00BD6898"/>
    <w:rsid w:val="00C05345"/>
    <w:rsid w:val="00C13ECE"/>
    <w:rsid w:val="00C1549B"/>
    <w:rsid w:val="00C35B61"/>
    <w:rsid w:val="00C37F70"/>
    <w:rsid w:val="00C42749"/>
    <w:rsid w:val="00C42E92"/>
    <w:rsid w:val="00C61580"/>
    <w:rsid w:val="00C73235"/>
    <w:rsid w:val="00C94AD7"/>
    <w:rsid w:val="00CA0D65"/>
    <w:rsid w:val="00CB3633"/>
    <w:rsid w:val="00CB3A37"/>
    <w:rsid w:val="00CD5CCC"/>
    <w:rsid w:val="00CE081A"/>
    <w:rsid w:val="00CE14AD"/>
    <w:rsid w:val="00CE2AE4"/>
    <w:rsid w:val="00CF2282"/>
    <w:rsid w:val="00CF4C05"/>
    <w:rsid w:val="00D21EAC"/>
    <w:rsid w:val="00D24481"/>
    <w:rsid w:val="00D2744C"/>
    <w:rsid w:val="00D312B0"/>
    <w:rsid w:val="00D37FD7"/>
    <w:rsid w:val="00D43A37"/>
    <w:rsid w:val="00D51027"/>
    <w:rsid w:val="00D577FE"/>
    <w:rsid w:val="00D65A6B"/>
    <w:rsid w:val="00D8042F"/>
    <w:rsid w:val="00D80E3E"/>
    <w:rsid w:val="00D86D99"/>
    <w:rsid w:val="00D87ABB"/>
    <w:rsid w:val="00DA08B2"/>
    <w:rsid w:val="00DB3EE2"/>
    <w:rsid w:val="00DB530F"/>
    <w:rsid w:val="00DC18C1"/>
    <w:rsid w:val="00DC4CF9"/>
    <w:rsid w:val="00DD3D3B"/>
    <w:rsid w:val="00DE09EC"/>
    <w:rsid w:val="00DE23F2"/>
    <w:rsid w:val="00DE2458"/>
    <w:rsid w:val="00DF0B52"/>
    <w:rsid w:val="00E02B2A"/>
    <w:rsid w:val="00E10003"/>
    <w:rsid w:val="00E13773"/>
    <w:rsid w:val="00E20B04"/>
    <w:rsid w:val="00E33669"/>
    <w:rsid w:val="00E36C96"/>
    <w:rsid w:val="00E45923"/>
    <w:rsid w:val="00E46710"/>
    <w:rsid w:val="00E505B2"/>
    <w:rsid w:val="00E6789B"/>
    <w:rsid w:val="00E725D4"/>
    <w:rsid w:val="00E93AA9"/>
    <w:rsid w:val="00E943CE"/>
    <w:rsid w:val="00E95932"/>
    <w:rsid w:val="00EA1C22"/>
    <w:rsid w:val="00EA3158"/>
    <w:rsid w:val="00EB54E3"/>
    <w:rsid w:val="00EC0AD3"/>
    <w:rsid w:val="00ED0780"/>
    <w:rsid w:val="00EE3608"/>
    <w:rsid w:val="00EF63EF"/>
    <w:rsid w:val="00F11C14"/>
    <w:rsid w:val="00F1696A"/>
    <w:rsid w:val="00F32286"/>
    <w:rsid w:val="00F41C23"/>
    <w:rsid w:val="00F5111A"/>
    <w:rsid w:val="00F67FF2"/>
    <w:rsid w:val="00F74535"/>
    <w:rsid w:val="00F7646B"/>
    <w:rsid w:val="00F8188D"/>
    <w:rsid w:val="00F8488A"/>
    <w:rsid w:val="00F97B5D"/>
    <w:rsid w:val="00FB0E04"/>
    <w:rsid w:val="00FD125F"/>
    <w:rsid w:val="00FD1962"/>
    <w:rsid w:val="00FE0E41"/>
    <w:rsid w:val="00FF63D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6E45"/>
  </w:style>
  <w:style w:type="paragraph" w:styleId="Nagwek1">
    <w:name w:val="heading 1"/>
    <w:basedOn w:val="Normalny"/>
    <w:link w:val="Nagwek1Znak"/>
    <w:uiPriority w:val="9"/>
    <w:qFormat/>
    <w:rsid w:val="004743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1C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C22"/>
  </w:style>
  <w:style w:type="paragraph" w:styleId="Tekstprzypisudolnego">
    <w:name w:val="footnote text"/>
    <w:basedOn w:val="Normalny"/>
    <w:link w:val="TekstprzypisudolnegoZnak"/>
    <w:uiPriority w:val="99"/>
    <w:semiHidden/>
    <w:unhideWhenUsed/>
    <w:rsid w:val="00EA1C2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A1C22"/>
    <w:rPr>
      <w:sz w:val="20"/>
      <w:szCs w:val="20"/>
    </w:rPr>
  </w:style>
  <w:style w:type="character" w:styleId="Odwoanieprzypisudolnego">
    <w:name w:val="footnote reference"/>
    <w:uiPriority w:val="99"/>
    <w:semiHidden/>
    <w:rsid w:val="00EA1C22"/>
    <w:rPr>
      <w:rFonts w:cs="Times New Roman"/>
      <w:vertAlign w:val="superscript"/>
    </w:rPr>
  </w:style>
  <w:style w:type="paragraph" w:styleId="Akapitzlist">
    <w:name w:val="List Paragraph"/>
    <w:basedOn w:val="Normalny"/>
    <w:uiPriority w:val="34"/>
    <w:qFormat/>
    <w:rsid w:val="00EA1C22"/>
    <w:pPr>
      <w:widowControl w:val="0"/>
      <w:autoSpaceDE w:val="0"/>
      <w:autoSpaceDN w:val="0"/>
      <w:adjustRightInd w:val="0"/>
      <w:spacing w:after="0" w:line="360" w:lineRule="auto"/>
      <w:ind w:left="720"/>
      <w:contextualSpacing/>
    </w:pPr>
    <w:rPr>
      <w:rFonts w:ascii="Times New Roman" w:eastAsia="Times New Roman" w:hAnsi="Times New Roman" w:cs="Arial"/>
      <w:sz w:val="24"/>
      <w:szCs w:val="20"/>
      <w:lang w:eastAsia="pl-PL"/>
    </w:rPr>
  </w:style>
  <w:style w:type="table" w:customStyle="1" w:styleId="Tabela-Siatka111">
    <w:name w:val="Tabela - Siatka111"/>
    <w:basedOn w:val="Standardowy"/>
    <w:next w:val="Tabela-Siatka"/>
    <w:rsid w:val="00EA1C22"/>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EA1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uiPriority w:val="99"/>
    <w:unhideWhenUsed/>
    <w:rsid w:val="00EA1C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C22"/>
  </w:style>
  <w:style w:type="paragraph" w:styleId="Tekstdymka">
    <w:name w:val="Balloon Text"/>
    <w:basedOn w:val="Normalny"/>
    <w:link w:val="TekstdymkaZnak"/>
    <w:uiPriority w:val="99"/>
    <w:semiHidden/>
    <w:unhideWhenUsed/>
    <w:rsid w:val="007E3E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3E4D"/>
    <w:rPr>
      <w:rFonts w:ascii="Segoe UI" w:hAnsi="Segoe UI" w:cs="Segoe UI"/>
      <w:sz w:val="18"/>
      <w:szCs w:val="18"/>
    </w:rPr>
  </w:style>
  <w:style w:type="character" w:customStyle="1" w:styleId="Nagwek1Znak">
    <w:name w:val="Nagłówek 1 Znak"/>
    <w:basedOn w:val="Domylnaczcionkaakapitu"/>
    <w:link w:val="Nagwek1"/>
    <w:uiPriority w:val="9"/>
    <w:rsid w:val="004743E5"/>
    <w:rPr>
      <w:rFonts w:ascii="Times New Roman" w:eastAsia="Times New Roman" w:hAnsi="Times New Roman" w:cs="Times New Roman"/>
      <w:b/>
      <w:bCs/>
      <w:kern w:val="36"/>
      <w:sz w:val="48"/>
      <w:szCs w:val="48"/>
      <w:lang w:eastAsia="pl-PL"/>
    </w:rPr>
  </w:style>
  <w:style w:type="character" w:customStyle="1" w:styleId="vcenter">
    <w:name w:val="vcenter"/>
    <w:basedOn w:val="Domylnaczcionkaakapitu"/>
    <w:rsid w:val="004743E5"/>
  </w:style>
  <w:style w:type="paragraph" w:customStyle="1" w:styleId="Default">
    <w:name w:val="Default"/>
    <w:rsid w:val="000030B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lor">
    <w:name w:val="color"/>
    <w:basedOn w:val="Domylnaczcionkaakapitu"/>
    <w:rsid w:val="005145B3"/>
  </w:style>
  <w:style w:type="paragraph" w:customStyle="1" w:styleId="normal">
    <w:name w:val="normal"/>
    <w:rsid w:val="00C73235"/>
    <w:pPr>
      <w:widowControl w:val="0"/>
      <w:spacing w:after="0" w:line="240" w:lineRule="auto"/>
    </w:pPr>
    <w:rPr>
      <w:rFonts w:ascii="Times New Roman" w:eastAsia="Times New Roman" w:hAnsi="Times New Roman" w:cs="Times New Roman"/>
      <w:lang w:eastAsia="pl-PL"/>
    </w:rPr>
  </w:style>
</w:styles>
</file>

<file path=word/webSettings.xml><?xml version="1.0" encoding="utf-8"?>
<w:webSettings xmlns:r="http://schemas.openxmlformats.org/officeDocument/2006/relationships" xmlns:w="http://schemas.openxmlformats.org/wordprocessingml/2006/main">
  <w:divs>
    <w:div w:id="127011313">
      <w:bodyDiv w:val="1"/>
      <w:marLeft w:val="0"/>
      <w:marRight w:val="0"/>
      <w:marTop w:val="0"/>
      <w:marBottom w:val="0"/>
      <w:divBdr>
        <w:top w:val="none" w:sz="0" w:space="0" w:color="auto"/>
        <w:left w:val="none" w:sz="0" w:space="0" w:color="auto"/>
        <w:bottom w:val="none" w:sz="0" w:space="0" w:color="auto"/>
        <w:right w:val="none" w:sz="0" w:space="0" w:color="auto"/>
      </w:divBdr>
    </w:div>
    <w:div w:id="309753785">
      <w:bodyDiv w:val="1"/>
      <w:marLeft w:val="0"/>
      <w:marRight w:val="0"/>
      <w:marTop w:val="0"/>
      <w:marBottom w:val="0"/>
      <w:divBdr>
        <w:top w:val="none" w:sz="0" w:space="0" w:color="auto"/>
        <w:left w:val="none" w:sz="0" w:space="0" w:color="auto"/>
        <w:bottom w:val="none" w:sz="0" w:space="0" w:color="auto"/>
        <w:right w:val="none" w:sz="0" w:space="0" w:color="auto"/>
      </w:divBdr>
    </w:div>
    <w:div w:id="1826432182">
      <w:bodyDiv w:val="1"/>
      <w:marLeft w:val="0"/>
      <w:marRight w:val="0"/>
      <w:marTop w:val="0"/>
      <w:marBottom w:val="0"/>
      <w:divBdr>
        <w:top w:val="none" w:sz="0" w:space="0" w:color="auto"/>
        <w:left w:val="none" w:sz="0" w:space="0" w:color="auto"/>
        <w:bottom w:val="none" w:sz="0" w:space="0" w:color="auto"/>
        <w:right w:val="none" w:sz="0" w:space="0" w:color="auto"/>
      </w:divBdr>
      <w:divsChild>
        <w:div w:id="2020347270">
          <w:marLeft w:val="0"/>
          <w:marRight w:val="0"/>
          <w:marTop w:val="0"/>
          <w:marBottom w:val="0"/>
          <w:divBdr>
            <w:top w:val="none" w:sz="0" w:space="0" w:color="auto"/>
            <w:left w:val="none" w:sz="0" w:space="0" w:color="auto"/>
            <w:bottom w:val="none" w:sz="0" w:space="0" w:color="auto"/>
            <w:right w:val="none" w:sz="0" w:space="0" w:color="auto"/>
          </w:divBdr>
        </w:div>
        <w:div w:id="144758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A266E-4251-4BC4-A570-8092438F4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7213</Words>
  <Characters>43278</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50391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Pietrzak Ewa</dc:creator>
  <cp:lastModifiedBy>JACEK</cp:lastModifiedBy>
  <cp:revision>10</cp:revision>
  <cp:lastPrinted>2025-01-10T15:45:00Z</cp:lastPrinted>
  <dcterms:created xsi:type="dcterms:W3CDTF">2025-02-04T13:22:00Z</dcterms:created>
  <dcterms:modified xsi:type="dcterms:W3CDTF">2025-02-14T14:13:00Z</dcterms:modified>
</cp:coreProperties>
</file>